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4312" w:rsidRDefault="00181238" w:rsidP="00181238">
      <w:pPr>
        <w:spacing w:after="200" w:line="276" w:lineRule="auto"/>
        <w:jc w:val="both"/>
        <w:rPr>
          <w:lang w:val="es-ES"/>
        </w:rPr>
      </w:pPr>
      <w:r>
        <w:rPr>
          <w:lang w:val="es-ES"/>
        </w:rPr>
        <w:t>Curso APEX 17 al 19-02-2020</w:t>
      </w:r>
      <w:bookmarkStart w:id="0" w:name="_GoBack"/>
      <w:bookmarkEnd w:id="0"/>
    </w:p>
    <w:p w:rsidR="00181238" w:rsidRDefault="00181238" w:rsidP="00181238">
      <w:pPr>
        <w:spacing w:after="200" w:line="276" w:lineRule="auto"/>
        <w:jc w:val="both"/>
        <w:rPr>
          <w:rFonts w:ascii="Times New Roman" w:hAnsi="Times New Roman" w:cs="Times New Roman"/>
          <w:b/>
          <w:bCs/>
          <w:lang w:val="es-ES"/>
        </w:rPr>
      </w:pPr>
      <w:r w:rsidRPr="007B7558">
        <w:rPr>
          <w:b/>
          <w:bCs/>
          <w:lang w:val="es-ES"/>
        </w:rPr>
        <w:t>Denominación:</w:t>
      </w:r>
      <w:r>
        <w:rPr>
          <w:lang w:val="es-ES"/>
        </w:rPr>
        <w:t xml:space="preserve"> </w:t>
      </w:r>
      <w:r w:rsidR="007B7558" w:rsidRPr="007B7558">
        <w:rPr>
          <w:lang w:val="es-ES"/>
        </w:rPr>
        <w:t>“</w:t>
      </w:r>
      <w:r w:rsidR="007B7558" w:rsidRPr="007B7558">
        <w:rPr>
          <w:rFonts w:ascii="Times New Roman" w:hAnsi="Times New Roman" w:cs="Times New Roman"/>
          <w:lang w:val="es-ES"/>
        </w:rPr>
        <w:t>Salud, soberanía nacional y derechos humanos”</w:t>
      </w:r>
    </w:p>
    <w:p w:rsidR="007B7558" w:rsidRPr="007B7558" w:rsidRDefault="007B7558" w:rsidP="009931EF">
      <w:pPr>
        <w:spacing w:after="120" w:line="276" w:lineRule="auto"/>
        <w:jc w:val="both"/>
        <w:rPr>
          <w:b/>
          <w:bCs/>
          <w:lang w:val="es-ES"/>
        </w:rPr>
      </w:pPr>
      <w:r w:rsidRPr="007B7558">
        <w:rPr>
          <w:b/>
          <w:bCs/>
          <w:lang w:val="es-ES"/>
        </w:rPr>
        <w:t>Objetivos:</w:t>
      </w:r>
    </w:p>
    <w:p w:rsidR="007B7558" w:rsidRPr="001A16BE" w:rsidRDefault="007B7558" w:rsidP="007B7558">
      <w:pPr>
        <w:pStyle w:val="Prrafodelista"/>
        <w:numPr>
          <w:ilvl w:val="0"/>
          <w:numId w:val="1"/>
        </w:numPr>
        <w:spacing w:after="80"/>
        <w:ind w:left="714" w:hanging="357"/>
        <w:contextualSpacing w:val="0"/>
        <w:jc w:val="both"/>
        <w:rPr>
          <w:rFonts w:ascii="Cambria" w:eastAsia="Times New Roman" w:hAnsi="Cambria" w:cs="Arial"/>
          <w:color w:val="000000"/>
          <w:lang w:val="es-ES"/>
        </w:rPr>
      </w:pPr>
      <w:r w:rsidRPr="001A16BE">
        <w:rPr>
          <w:rFonts w:ascii="Cambria" w:eastAsia="Times New Roman" w:hAnsi="Cambria" w:cs="Arial"/>
          <w:color w:val="000000"/>
          <w:lang w:val="es-ES"/>
        </w:rPr>
        <w:t>El objetivo instrumental es despertar inquietudes y promover reflexiones situando la</w:t>
      </w:r>
      <w:r w:rsidRPr="001A16BE">
        <w:rPr>
          <w:rFonts w:ascii="Cambria" w:eastAsia="Times New Roman" w:hAnsi="Cambria" w:cs="Liberation Sans"/>
          <w:lang w:val="es-ES"/>
        </w:rPr>
        <w:t xml:space="preserve"> salud en una perspectiva más amplia que el de la lucha contra la enfermedad, haciendo hincapié en sus componentes políticos, económicos, de derechos humanos y militares. El proceso de </w:t>
      </w:r>
      <w:r w:rsidRPr="001A16BE">
        <w:rPr>
          <w:rFonts w:ascii="Cambria" w:eastAsia="Times New Roman" w:hAnsi="Cambria" w:cs="Liberation Sans"/>
          <w:i/>
          <w:iCs/>
          <w:lang w:val="es-ES"/>
        </w:rPr>
        <w:t>militarización social</w:t>
      </w:r>
      <w:r w:rsidRPr="001A16BE">
        <w:rPr>
          <w:rFonts w:ascii="Cambria" w:eastAsia="Times New Roman" w:hAnsi="Cambria" w:cs="Liberation Sans"/>
          <w:lang w:val="es-ES"/>
        </w:rPr>
        <w:t xml:space="preserve"> de los países imperialistas y neocolonialistas a partir del fin de la segunda guerra mundial.</w:t>
      </w:r>
    </w:p>
    <w:p w:rsidR="007B7558" w:rsidRPr="001A16BE" w:rsidRDefault="007B7558" w:rsidP="007B7558">
      <w:pPr>
        <w:pStyle w:val="Prrafodelista"/>
        <w:numPr>
          <w:ilvl w:val="0"/>
          <w:numId w:val="1"/>
        </w:numPr>
        <w:spacing w:after="80"/>
        <w:ind w:left="714" w:hanging="357"/>
        <w:contextualSpacing w:val="0"/>
        <w:jc w:val="both"/>
        <w:rPr>
          <w:rFonts w:ascii="Cambria" w:eastAsia="Times New Roman" w:hAnsi="Cambria" w:cs="Arial"/>
          <w:color w:val="000000"/>
          <w:lang w:val="es-ES"/>
        </w:rPr>
      </w:pPr>
      <w:r w:rsidRPr="001A16BE">
        <w:rPr>
          <w:rFonts w:ascii="Cambria" w:eastAsia="Times New Roman" w:hAnsi="Cambria" w:cs="Liberation Sans"/>
          <w:lang w:val="es-ES"/>
        </w:rPr>
        <w:t>Comprender que en términos de derechos humanos no se pude plantear como derecho el no enfermar, pero sí es un derecho fundamental de las personas sanas que no se las enferme.</w:t>
      </w:r>
    </w:p>
    <w:p w:rsidR="007B7558" w:rsidRPr="001A16BE" w:rsidRDefault="007B7558" w:rsidP="007B7558">
      <w:pPr>
        <w:pStyle w:val="Prrafodelista"/>
        <w:numPr>
          <w:ilvl w:val="0"/>
          <w:numId w:val="1"/>
        </w:numPr>
        <w:spacing w:after="80"/>
        <w:ind w:left="714" w:hanging="357"/>
        <w:contextualSpacing w:val="0"/>
        <w:jc w:val="both"/>
        <w:rPr>
          <w:rFonts w:ascii="Cambria" w:eastAsia="Times New Roman" w:hAnsi="Cambria" w:cs="Arial"/>
          <w:color w:val="000000"/>
          <w:lang w:val="es-ES"/>
        </w:rPr>
      </w:pPr>
      <w:r w:rsidRPr="001A16BE">
        <w:rPr>
          <w:rFonts w:ascii="Cambria" w:eastAsia="Times New Roman" w:hAnsi="Cambria" w:cs="Liberation Sans"/>
          <w:lang w:val="es-ES"/>
        </w:rPr>
        <w:t xml:space="preserve">Visualizar el problema de la </w:t>
      </w:r>
      <w:r w:rsidRPr="001A16BE">
        <w:rPr>
          <w:rFonts w:ascii="Cambria" w:eastAsia="Times New Roman" w:hAnsi="Cambria" w:cs="Liberation Sans"/>
          <w:i/>
          <w:iCs/>
          <w:lang w:val="es-ES"/>
        </w:rPr>
        <w:t>enfermedad pública</w:t>
      </w:r>
      <w:r w:rsidRPr="001A16BE">
        <w:rPr>
          <w:rFonts w:ascii="Cambria" w:eastAsia="Times New Roman" w:hAnsi="Cambria" w:cs="Liberation Sans"/>
          <w:lang w:val="es-ES"/>
        </w:rPr>
        <w:t xml:space="preserve"> en toda su dimensión y vertientes causales.</w:t>
      </w:r>
    </w:p>
    <w:p w:rsidR="007B7558" w:rsidRPr="001A16BE" w:rsidRDefault="007B7558" w:rsidP="007B7558">
      <w:pPr>
        <w:pStyle w:val="Prrafodelista"/>
        <w:numPr>
          <w:ilvl w:val="0"/>
          <w:numId w:val="1"/>
        </w:numPr>
        <w:spacing w:after="80"/>
        <w:ind w:left="714" w:hanging="357"/>
        <w:contextualSpacing w:val="0"/>
        <w:jc w:val="both"/>
        <w:rPr>
          <w:rFonts w:ascii="Cambria" w:eastAsia="Times New Roman" w:hAnsi="Cambria" w:cs="Arial"/>
          <w:color w:val="000000"/>
          <w:lang w:val="es-ES"/>
        </w:rPr>
      </w:pPr>
      <w:r w:rsidRPr="001A16BE">
        <w:rPr>
          <w:rFonts w:ascii="Cambria" w:eastAsia="Times New Roman" w:hAnsi="Cambria" w:cs="Liberation Sans"/>
          <w:lang w:val="es-ES"/>
        </w:rPr>
        <w:t xml:space="preserve">Desarrollar la comprensión, fundamentada, en cuanto a que no se puede y no se debe seguir usando la expresión “salud pública” sino </w:t>
      </w:r>
      <w:r w:rsidRPr="001A16BE">
        <w:rPr>
          <w:rFonts w:ascii="Cambria" w:eastAsia="Times New Roman" w:hAnsi="Cambria" w:cs="Liberation Sans"/>
          <w:i/>
          <w:iCs/>
          <w:lang w:val="es-ES"/>
        </w:rPr>
        <w:t>salud-enfermedad públicas</w:t>
      </w:r>
      <w:r w:rsidRPr="001A16BE">
        <w:rPr>
          <w:rFonts w:ascii="Cambria" w:eastAsia="Times New Roman" w:hAnsi="Cambria" w:cs="Liberation Sans"/>
          <w:lang w:val="es-ES"/>
        </w:rPr>
        <w:t>.</w:t>
      </w:r>
    </w:p>
    <w:p w:rsidR="007B7558" w:rsidRPr="001A16BE" w:rsidRDefault="007B7558" w:rsidP="007B7558">
      <w:pPr>
        <w:pStyle w:val="Prrafodelista"/>
        <w:numPr>
          <w:ilvl w:val="0"/>
          <w:numId w:val="1"/>
        </w:numPr>
        <w:spacing w:after="240"/>
        <w:ind w:left="714" w:hanging="357"/>
        <w:contextualSpacing w:val="0"/>
        <w:jc w:val="both"/>
        <w:rPr>
          <w:rFonts w:ascii="Cambria" w:eastAsia="Times New Roman" w:hAnsi="Cambria" w:cs="Arial"/>
          <w:color w:val="000000"/>
          <w:lang w:val="es-ES"/>
        </w:rPr>
      </w:pPr>
      <w:r w:rsidRPr="001A16BE">
        <w:rPr>
          <w:rFonts w:ascii="Cambria" w:eastAsia="Times New Roman" w:hAnsi="Cambria" w:cs="Liberation Sans"/>
          <w:lang w:val="es-ES"/>
        </w:rPr>
        <w:t xml:space="preserve">Desarrollar una primera aproximación a la comprensión que la </w:t>
      </w:r>
      <w:r w:rsidRPr="001A16BE">
        <w:rPr>
          <w:rFonts w:ascii="Cambria" w:hAnsi="Cambria" w:cs="Times New Roman"/>
          <w:lang w:val="es-ES"/>
        </w:rPr>
        <w:t xml:space="preserve">salud de las poblaciones no solo es una cuestión de la mayor importancia para nuestros países por razones vinculadas con el respeto de los derechos humanos, el desarrollo nacional y el bienestar de las comunidades, sino que se fusiona con cuestiones relacionadas con la lucha contra la explotación neocolonial y la vulnerabilidad nacional frente a poderes imperiales caracterizados por la profundización de su desenfreno y la incursión desembozada en el terreno de las </w:t>
      </w:r>
      <w:r w:rsidRPr="001A16BE">
        <w:rPr>
          <w:rFonts w:ascii="Cambria" w:hAnsi="Cambria" w:cs="Times New Roman"/>
          <w:i/>
          <w:iCs/>
          <w:lang w:val="es-ES"/>
        </w:rPr>
        <w:t>acciones criminales integrales</w:t>
      </w:r>
      <w:r w:rsidRPr="001A16BE">
        <w:rPr>
          <w:rFonts w:ascii="Cambria" w:hAnsi="Cambria" w:cs="Times New Roman"/>
          <w:lang w:val="es-ES"/>
        </w:rPr>
        <w:t>.</w:t>
      </w:r>
    </w:p>
    <w:p w:rsidR="007B7558" w:rsidRDefault="007B7558" w:rsidP="009931EF">
      <w:pPr>
        <w:spacing w:after="120" w:line="276" w:lineRule="auto"/>
        <w:jc w:val="both"/>
        <w:rPr>
          <w:lang w:val="es-ES"/>
        </w:rPr>
      </w:pPr>
      <w:r w:rsidRPr="007B7558">
        <w:rPr>
          <w:b/>
          <w:bCs/>
          <w:lang w:val="es-ES"/>
        </w:rPr>
        <w:t>Temario:</w:t>
      </w:r>
    </w:p>
    <w:p w:rsidR="009931EF" w:rsidRPr="001A16BE" w:rsidRDefault="009931EF" w:rsidP="009931EF">
      <w:pPr>
        <w:pStyle w:val="Prrafodelista"/>
        <w:numPr>
          <w:ilvl w:val="0"/>
          <w:numId w:val="2"/>
        </w:numPr>
        <w:spacing w:after="80"/>
        <w:ind w:left="714" w:hanging="357"/>
        <w:contextualSpacing w:val="0"/>
        <w:jc w:val="both"/>
        <w:rPr>
          <w:rFonts w:ascii="Cambria" w:eastAsia="Times New Roman" w:hAnsi="Cambria" w:cs="Liberation Sans"/>
          <w:lang w:val="es-ES"/>
        </w:rPr>
      </w:pPr>
      <w:r w:rsidRPr="001A16BE">
        <w:rPr>
          <w:rFonts w:ascii="Cambria" w:hAnsi="Cambria" w:cs="Times New Roman"/>
          <w:lang w:val="es-ES"/>
        </w:rPr>
        <w:t>Salud, derechos humanos y soberanía nacional: aspectos básicos y toma de posición.</w:t>
      </w:r>
    </w:p>
    <w:p w:rsidR="009931EF" w:rsidRDefault="009931EF" w:rsidP="009931EF">
      <w:pPr>
        <w:pStyle w:val="Prrafodelista"/>
        <w:numPr>
          <w:ilvl w:val="0"/>
          <w:numId w:val="2"/>
        </w:numPr>
        <w:spacing w:after="80"/>
        <w:ind w:left="714" w:hanging="357"/>
        <w:contextualSpacing w:val="0"/>
        <w:jc w:val="both"/>
        <w:rPr>
          <w:rFonts w:ascii="Cambria" w:eastAsia="Times New Roman" w:hAnsi="Cambria" w:cs="Liberation Sans"/>
          <w:lang w:val="es-ES"/>
        </w:rPr>
      </w:pPr>
      <w:r w:rsidRPr="001A16BE">
        <w:rPr>
          <w:rFonts w:ascii="Cambria" w:eastAsia="Times New Roman" w:hAnsi="Cambria" w:cs="Liberation Sans"/>
          <w:lang w:val="es-ES"/>
        </w:rPr>
        <w:t>La salud comunitaria en el ámbito de la salud-enfermedad públicas y la resistencia (potencial o actual) de las poblaciones a ser tratadas como objetos y no sujetos de mercado o, mejor aún, sujetos de derecho.</w:t>
      </w:r>
    </w:p>
    <w:p w:rsidR="00EF70F8" w:rsidRDefault="00EF70F8" w:rsidP="009931EF">
      <w:pPr>
        <w:pStyle w:val="Prrafodelista"/>
        <w:numPr>
          <w:ilvl w:val="0"/>
          <w:numId w:val="2"/>
        </w:numPr>
        <w:spacing w:after="80"/>
        <w:ind w:left="714" w:hanging="357"/>
        <w:contextualSpacing w:val="0"/>
        <w:jc w:val="both"/>
        <w:rPr>
          <w:rFonts w:ascii="Cambria" w:eastAsia="Times New Roman" w:hAnsi="Cambria" w:cs="Liberation Sans"/>
          <w:lang w:val="es-ES"/>
        </w:rPr>
      </w:pPr>
      <w:r>
        <w:rPr>
          <w:rFonts w:ascii="Cambria" w:eastAsia="Times New Roman" w:hAnsi="Cambria" w:cs="Liberation Sans"/>
          <w:lang w:val="es-ES"/>
        </w:rPr>
        <w:t xml:space="preserve">Características esenciales del concepto de </w:t>
      </w:r>
      <w:r w:rsidRPr="00EF70F8">
        <w:rPr>
          <w:rFonts w:ascii="Cambria" w:eastAsia="Times New Roman" w:hAnsi="Cambria" w:cs="Liberation Sans"/>
          <w:i/>
          <w:iCs/>
          <w:lang w:val="es-ES"/>
        </w:rPr>
        <w:t>salud comunitaria</w:t>
      </w:r>
      <w:r>
        <w:rPr>
          <w:rFonts w:ascii="Cambria" w:eastAsia="Times New Roman" w:hAnsi="Cambria" w:cs="Liberation Sans"/>
          <w:lang w:val="es-ES"/>
        </w:rPr>
        <w:t>; los Problemas Populares de Salud y su carácter relacional.</w:t>
      </w:r>
    </w:p>
    <w:p w:rsidR="00B27034" w:rsidRPr="001A16BE" w:rsidRDefault="00B27034" w:rsidP="009931EF">
      <w:pPr>
        <w:pStyle w:val="Prrafodelista"/>
        <w:numPr>
          <w:ilvl w:val="0"/>
          <w:numId w:val="2"/>
        </w:numPr>
        <w:spacing w:after="80"/>
        <w:ind w:left="714" w:hanging="357"/>
        <w:contextualSpacing w:val="0"/>
        <w:jc w:val="both"/>
        <w:rPr>
          <w:rFonts w:ascii="Cambria" w:eastAsia="Times New Roman" w:hAnsi="Cambria" w:cs="Liberation Sans"/>
          <w:lang w:val="es-ES"/>
        </w:rPr>
      </w:pPr>
      <w:r>
        <w:rPr>
          <w:rFonts w:ascii="Cambria" w:eastAsia="Times New Roman" w:hAnsi="Cambria" w:cs="Liberation Sans"/>
          <w:lang w:val="es-ES"/>
        </w:rPr>
        <w:t>La trascendental importancia del Primer Nivel de Atención y el perfil necesario de los profesionales de la salud que trabajan en el mismo.</w:t>
      </w:r>
    </w:p>
    <w:p w:rsidR="009931EF" w:rsidRPr="001A16BE" w:rsidRDefault="009931EF" w:rsidP="009931EF">
      <w:pPr>
        <w:pStyle w:val="Prrafodelista"/>
        <w:numPr>
          <w:ilvl w:val="0"/>
          <w:numId w:val="2"/>
        </w:numPr>
        <w:spacing w:after="80"/>
        <w:ind w:left="714" w:hanging="357"/>
        <w:contextualSpacing w:val="0"/>
        <w:jc w:val="both"/>
        <w:rPr>
          <w:rFonts w:ascii="Cambria" w:eastAsia="Times New Roman" w:hAnsi="Cambria" w:cs="Liberation Sans"/>
          <w:lang w:val="es-ES"/>
        </w:rPr>
      </w:pPr>
      <w:r w:rsidRPr="001A16BE">
        <w:rPr>
          <w:rFonts w:ascii="Cambria" w:eastAsia="Times New Roman" w:hAnsi="Cambria" w:cs="Liberation Sans"/>
          <w:lang w:val="es-ES"/>
        </w:rPr>
        <w:t>La enfermedad pública y su vinculación con la Salud Pública, considerada esta en tanto disciplina, instancia de gobierno e instancia laboral de atención de las poblaciones consultantes.</w:t>
      </w:r>
    </w:p>
    <w:p w:rsidR="009931EF" w:rsidRPr="001A16BE" w:rsidRDefault="009931EF" w:rsidP="009931EF">
      <w:pPr>
        <w:pStyle w:val="Prrafodelista"/>
        <w:numPr>
          <w:ilvl w:val="0"/>
          <w:numId w:val="2"/>
        </w:numPr>
        <w:spacing w:after="80"/>
        <w:ind w:left="714" w:hanging="357"/>
        <w:contextualSpacing w:val="0"/>
        <w:jc w:val="both"/>
        <w:rPr>
          <w:rFonts w:ascii="Cambria" w:eastAsia="Times New Roman" w:hAnsi="Cambria" w:cs="Liberation Sans"/>
          <w:lang w:val="es-ES"/>
        </w:rPr>
      </w:pPr>
      <w:r w:rsidRPr="001A16BE">
        <w:rPr>
          <w:rFonts w:ascii="Cambria" w:eastAsia="Times New Roman" w:hAnsi="Cambria" w:cs="Liberation Sans"/>
          <w:lang w:val="es-ES"/>
        </w:rPr>
        <w:t>Enfermedad pública, expropiación de la salud y su restitución. La prevención cuaternaria. El caso especial de la salud mental.</w:t>
      </w:r>
    </w:p>
    <w:p w:rsidR="009931EF" w:rsidRDefault="009931EF" w:rsidP="009931EF">
      <w:pPr>
        <w:pStyle w:val="Prrafodelista"/>
        <w:numPr>
          <w:ilvl w:val="0"/>
          <w:numId w:val="2"/>
        </w:numPr>
        <w:spacing w:after="80"/>
        <w:ind w:left="714" w:hanging="357"/>
        <w:contextualSpacing w:val="0"/>
        <w:jc w:val="both"/>
        <w:rPr>
          <w:rFonts w:ascii="Cambria" w:eastAsia="Times New Roman" w:hAnsi="Cambria" w:cs="Liberation Sans"/>
          <w:lang w:val="es-ES"/>
        </w:rPr>
      </w:pPr>
      <w:r w:rsidRPr="001A16BE">
        <w:rPr>
          <w:rFonts w:ascii="Cambria" w:eastAsia="Times New Roman" w:hAnsi="Cambria" w:cs="Liberation Sans"/>
          <w:lang w:val="es-ES"/>
        </w:rPr>
        <w:t>La patologización de las sociedades. El marketing de la enfermedad.</w:t>
      </w:r>
    </w:p>
    <w:p w:rsidR="005E3D0D" w:rsidRPr="001A16BE" w:rsidRDefault="005E3D0D" w:rsidP="009931EF">
      <w:pPr>
        <w:pStyle w:val="Prrafodelista"/>
        <w:numPr>
          <w:ilvl w:val="0"/>
          <w:numId w:val="2"/>
        </w:numPr>
        <w:spacing w:after="80"/>
        <w:ind w:left="714" w:hanging="357"/>
        <w:contextualSpacing w:val="0"/>
        <w:jc w:val="both"/>
        <w:rPr>
          <w:rFonts w:ascii="Cambria" w:eastAsia="Times New Roman" w:hAnsi="Cambria" w:cs="Liberation Sans"/>
          <w:lang w:val="es-ES"/>
        </w:rPr>
      </w:pPr>
      <w:r w:rsidRPr="001A16BE">
        <w:rPr>
          <w:rFonts w:ascii="Cambria" w:eastAsia="Times New Roman" w:hAnsi="Cambria" w:cs="Liberation Sans"/>
          <w:lang w:val="es-ES"/>
        </w:rPr>
        <w:lastRenderedPageBreak/>
        <w:t>Los grandes defensores contemporáneos de la humanidad</w:t>
      </w:r>
      <w:r>
        <w:rPr>
          <w:rFonts w:ascii="Cambria" w:eastAsia="Times New Roman" w:hAnsi="Cambria" w:cs="Liberation Sans"/>
          <w:lang w:val="es-ES"/>
        </w:rPr>
        <w:t xml:space="preserve"> </w:t>
      </w:r>
      <w:r w:rsidRPr="001A16BE">
        <w:rPr>
          <w:rFonts w:ascii="Cambria" w:eastAsia="Times New Roman" w:hAnsi="Cambria" w:cs="Liberation Sans"/>
          <w:lang w:val="es-ES"/>
        </w:rPr>
        <w:t>en lo que respecta a la salud. Las organizaciones médicas de cribado y metanálisis científico.</w:t>
      </w:r>
    </w:p>
    <w:p w:rsidR="005E3D0D" w:rsidRPr="005E3D0D" w:rsidRDefault="005E3D0D" w:rsidP="005E3D0D">
      <w:pPr>
        <w:pStyle w:val="Prrafodelista"/>
        <w:numPr>
          <w:ilvl w:val="0"/>
          <w:numId w:val="2"/>
        </w:numPr>
        <w:spacing w:after="240"/>
        <w:ind w:left="714" w:hanging="357"/>
        <w:contextualSpacing w:val="0"/>
        <w:jc w:val="both"/>
        <w:rPr>
          <w:rFonts w:ascii="Cambria" w:eastAsia="Times New Roman" w:hAnsi="Cambria" w:cs="Liberation Sans"/>
          <w:lang w:val="es-ES"/>
        </w:rPr>
      </w:pPr>
      <w:r>
        <w:rPr>
          <w:rFonts w:ascii="Cambria" w:eastAsia="Times New Roman" w:hAnsi="Cambria" w:cs="Liberation Sans"/>
          <w:lang w:val="es-ES"/>
        </w:rPr>
        <w:t>Una experiencia innovadora en el México de López Obrador.</w:t>
      </w:r>
    </w:p>
    <w:p w:rsidR="007B7558" w:rsidRDefault="009931EF" w:rsidP="00181238">
      <w:pPr>
        <w:spacing w:after="200" w:line="276" w:lineRule="auto"/>
        <w:jc w:val="both"/>
        <w:rPr>
          <w:b/>
          <w:bCs/>
          <w:lang w:val="es-ES"/>
        </w:rPr>
      </w:pPr>
      <w:r w:rsidRPr="009931EF">
        <w:rPr>
          <w:b/>
          <w:bCs/>
          <w:lang w:val="es-ES"/>
        </w:rPr>
        <w:t>Programa:</w:t>
      </w:r>
    </w:p>
    <w:p w:rsidR="009931EF" w:rsidRDefault="009931EF" w:rsidP="002A32E8">
      <w:pPr>
        <w:spacing w:after="120" w:line="276" w:lineRule="auto"/>
        <w:jc w:val="both"/>
        <w:rPr>
          <w:lang w:val="es-ES"/>
        </w:rPr>
      </w:pPr>
      <w:r w:rsidRPr="00557D79">
        <w:rPr>
          <w:b/>
          <w:bCs/>
          <w:lang w:val="es-ES"/>
        </w:rPr>
        <w:t>Módulo 1:</w:t>
      </w:r>
      <w:r w:rsidR="00CA112B">
        <w:rPr>
          <w:lang w:val="es-ES"/>
        </w:rPr>
        <w:t xml:space="preserve"> Salud, derechos humanos y soberanía nacional.</w:t>
      </w:r>
    </w:p>
    <w:p w:rsidR="009931EF" w:rsidRPr="00876D5D" w:rsidRDefault="00876D5D" w:rsidP="00740CD2">
      <w:pPr>
        <w:pStyle w:val="Prrafodelista"/>
        <w:numPr>
          <w:ilvl w:val="0"/>
          <w:numId w:val="3"/>
        </w:numPr>
        <w:spacing w:after="60" w:line="276" w:lineRule="auto"/>
        <w:ind w:left="714" w:hanging="357"/>
        <w:contextualSpacing w:val="0"/>
        <w:jc w:val="both"/>
        <w:rPr>
          <w:rFonts w:ascii="Cambria" w:hAnsi="Cambria"/>
          <w:lang w:val="es-ES"/>
        </w:rPr>
      </w:pPr>
      <w:r w:rsidRPr="00876D5D">
        <w:rPr>
          <w:rFonts w:ascii="Cambria" w:hAnsi="Cambria"/>
          <w:lang w:val="es-ES"/>
        </w:rPr>
        <w:t xml:space="preserve">OMS/OPS </w:t>
      </w:r>
      <w:r w:rsidR="00CC449C" w:rsidRPr="00876D5D">
        <w:rPr>
          <w:rFonts w:ascii="Cambria" w:hAnsi="Cambria"/>
          <w:lang w:val="es-ES"/>
        </w:rPr>
        <w:t>17 de septiembre de todos los años</w:t>
      </w:r>
      <w:r w:rsidR="002A32E8">
        <w:rPr>
          <w:rFonts w:ascii="Cambria" w:hAnsi="Cambria"/>
          <w:lang w:val="es-ES"/>
        </w:rPr>
        <w:t xml:space="preserve"> y la prevención cuaternaria</w:t>
      </w:r>
      <w:r w:rsidRPr="00876D5D">
        <w:rPr>
          <w:rFonts w:ascii="Cambria" w:hAnsi="Cambria"/>
          <w:lang w:val="es-ES"/>
        </w:rPr>
        <w:t>:</w:t>
      </w:r>
      <w:r w:rsidR="00CC449C" w:rsidRPr="00876D5D">
        <w:rPr>
          <w:rFonts w:ascii="Cambria" w:hAnsi="Cambria"/>
          <w:lang w:val="es-ES"/>
        </w:rPr>
        <w:t xml:space="preserve"> la</w:t>
      </w:r>
      <w:r w:rsidRPr="00876D5D">
        <w:rPr>
          <w:rFonts w:ascii="Cambria" w:hAnsi="Cambria"/>
          <w:lang w:val="es-ES"/>
        </w:rPr>
        <w:t xml:space="preserve"> concurrencia de factores que</w:t>
      </w:r>
      <w:r w:rsidR="00CC449C" w:rsidRPr="00876D5D">
        <w:rPr>
          <w:rFonts w:ascii="Cambria" w:hAnsi="Cambria"/>
          <w:lang w:val="es-ES"/>
        </w:rPr>
        <w:t xml:space="preserve"> hicieron </w:t>
      </w:r>
      <w:r w:rsidRPr="00876D5D">
        <w:rPr>
          <w:rFonts w:ascii="Cambria" w:hAnsi="Cambria"/>
          <w:lang w:val="es-ES"/>
        </w:rPr>
        <w:t>que se inst</w:t>
      </w:r>
      <w:r>
        <w:rPr>
          <w:rFonts w:ascii="Cambria" w:hAnsi="Cambria"/>
          <w:lang w:val="es-ES"/>
        </w:rPr>
        <w:t>ituya</w:t>
      </w:r>
      <w:r w:rsidRPr="00876D5D">
        <w:rPr>
          <w:rFonts w:ascii="Cambria" w:hAnsi="Cambria"/>
          <w:lang w:val="es-ES"/>
        </w:rPr>
        <w:t>.</w:t>
      </w:r>
      <w:r>
        <w:rPr>
          <w:rFonts w:ascii="Cambria" w:hAnsi="Cambria"/>
          <w:lang w:val="es-ES"/>
        </w:rPr>
        <w:t xml:space="preserve"> La OMS/OPS: uno de estos factores.</w:t>
      </w:r>
    </w:p>
    <w:p w:rsidR="008A77BE" w:rsidRDefault="008A77BE" w:rsidP="008A77BE">
      <w:pPr>
        <w:pStyle w:val="Prrafodelista"/>
        <w:numPr>
          <w:ilvl w:val="0"/>
          <w:numId w:val="3"/>
        </w:numPr>
        <w:spacing w:after="60" w:line="276" w:lineRule="auto"/>
        <w:ind w:left="714" w:hanging="357"/>
        <w:contextualSpacing w:val="0"/>
        <w:jc w:val="both"/>
        <w:rPr>
          <w:rFonts w:ascii="Cambria" w:hAnsi="Cambria"/>
          <w:lang w:val="es-ES"/>
        </w:rPr>
      </w:pPr>
      <w:r>
        <w:rPr>
          <w:rFonts w:ascii="Cambria" w:hAnsi="Cambria"/>
          <w:lang w:val="es-ES"/>
        </w:rPr>
        <w:t>La salud, ¿estado o proceso ecosistémico?; su relación con los derechos humanos.</w:t>
      </w:r>
    </w:p>
    <w:p w:rsidR="005D1E27" w:rsidRDefault="00E45EB3" w:rsidP="00740CD2">
      <w:pPr>
        <w:pStyle w:val="Prrafodelista"/>
        <w:numPr>
          <w:ilvl w:val="0"/>
          <w:numId w:val="3"/>
        </w:numPr>
        <w:spacing w:after="60" w:line="276" w:lineRule="auto"/>
        <w:ind w:left="714" w:hanging="357"/>
        <w:contextualSpacing w:val="0"/>
        <w:jc w:val="both"/>
        <w:rPr>
          <w:rFonts w:ascii="Cambria" w:hAnsi="Cambria"/>
          <w:lang w:val="es-ES"/>
        </w:rPr>
      </w:pPr>
      <w:r>
        <w:rPr>
          <w:rFonts w:ascii="Cambria" w:hAnsi="Cambria"/>
          <w:lang w:val="es-ES"/>
        </w:rPr>
        <w:t>Tres</w:t>
      </w:r>
      <w:r w:rsidR="00372FB6">
        <w:rPr>
          <w:rFonts w:ascii="Cambria" w:hAnsi="Cambria"/>
          <w:lang w:val="es-ES"/>
        </w:rPr>
        <w:t xml:space="preserve"> digresiones</w:t>
      </w:r>
      <w:r>
        <w:rPr>
          <w:rFonts w:ascii="Cambria" w:hAnsi="Cambria"/>
          <w:lang w:val="es-ES"/>
        </w:rPr>
        <w:t xml:space="preserve"> conceptuales o </w:t>
      </w:r>
      <w:proofErr w:type="spellStart"/>
      <w:r>
        <w:rPr>
          <w:rFonts w:ascii="Cambria" w:hAnsi="Cambria"/>
          <w:lang w:val="es-ES"/>
        </w:rPr>
        <w:t>ideacionales</w:t>
      </w:r>
      <w:proofErr w:type="spellEnd"/>
      <w:r w:rsidR="00372FB6">
        <w:rPr>
          <w:rFonts w:ascii="Cambria" w:hAnsi="Cambria"/>
          <w:lang w:val="es-ES"/>
        </w:rPr>
        <w:t xml:space="preserve"> necesarias y fundantes:</w:t>
      </w:r>
    </w:p>
    <w:p w:rsidR="00E45EB3" w:rsidRDefault="00E45EB3" w:rsidP="00372FB6">
      <w:pPr>
        <w:pStyle w:val="Prrafodelista"/>
        <w:numPr>
          <w:ilvl w:val="2"/>
          <w:numId w:val="6"/>
        </w:numPr>
        <w:spacing w:after="60" w:line="276" w:lineRule="auto"/>
        <w:ind w:left="2154" w:hanging="357"/>
        <w:contextualSpacing w:val="0"/>
        <w:jc w:val="both"/>
        <w:rPr>
          <w:rFonts w:ascii="Cambria" w:hAnsi="Cambria"/>
          <w:lang w:val="es-ES"/>
        </w:rPr>
      </w:pPr>
      <w:r>
        <w:rPr>
          <w:rFonts w:ascii="Cambria" w:hAnsi="Cambria"/>
          <w:lang w:val="es-ES"/>
        </w:rPr>
        <w:t xml:space="preserve">El concepto de </w:t>
      </w:r>
      <w:r>
        <w:rPr>
          <w:rFonts w:ascii="Cambria" w:hAnsi="Cambria"/>
          <w:i/>
          <w:iCs/>
          <w:lang w:val="es-ES"/>
        </w:rPr>
        <w:t>expropiación de la salud</w:t>
      </w:r>
      <w:r w:rsidR="00733660">
        <w:rPr>
          <w:rFonts w:ascii="Cambria" w:hAnsi="Cambria"/>
          <w:lang w:val="es-ES"/>
        </w:rPr>
        <w:t xml:space="preserve"> y de </w:t>
      </w:r>
      <w:r w:rsidR="00733660" w:rsidRPr="00733660">
        <w:rPr>
          <w:rFonts w:ascii="Cambria" w:hAnsi="Cambria"/>
          <w:i/>
          <w:iCs/>
          <w:lang w:val="es-ES"/>
        </w:rPr>
        <w:t xml:space="preserve">profesión </w:t>
      </w:r>
      <w:proofErr w:type="spellStart"/>
      <w:r w:rsidR="00733660" w:rsidRPr="00733660">
        <w:rPr>
          <w:rFonts w:ascii="Cambria" w:hAnsi="Cambria"/>
          <w:i/>
          <w:iCs/>
          <w:lang w:val="es-ES"/>
        </w:rPr>
        <w:t>deshabilitante</w:t>
      </w:r>
      <w:proofErr w:type="spellEnd"/>
      <w:r w:rsidRPr="00733660">
        <w:rPr>
          <w:rFonts w:ascii="Cambria" w:hAnsi="Cambria"/>
          <w:i/>
          <w:iCs/>
          <w:lang w:val="es-ES"/>
        </w:rPr>
        <w:t>.</w:t>
      </w:r>
    </w:p>
    <w:p w:rsidR="00372FB6" w:rsidRPr="00372FB6" w:rsidRDefault="00372FB6" w:rsidP="00372FB6">
      <w:pPr>
        <w:pStyle w:val="Prrafodelista"/>
        <w:numPr>
          <w:ilvl w:val="2"/>
          <w:numId w:val="6"/>
        </w:numPr>
        <w:spacing w:after="60" w:line="276" w:lineRule="auto"/>
        <w:ind w:left="2154" w:hanging="357"/>
        <w:contextualSpacing w:val="0"/>
        <w:jc w:val="both"/>
        <w:rPr>
          <w:rFonts w:ascii="Cambria" w:hAnsi="Cambria"/>
          <w:lang w:val="es-ES"/>
        </w:rPr>
      </w:pPr>
      <w:r>
        <w:rPr>
          <w:rFonts w:ascii="Cambria" w:hAnsi="Cambria"/>
          <w:lang w:val="es-ES"/>
        </w:rPr>
        <w:t xml:space="preserve">El concepto de </w:t>
      </w:r>
      <w:r w:rsidRPr="00372FB6">
        <w:rPr>
          <w:rFonts w:ascii="Cambria" w:hAnsi="Cambria"/>
          <w:i/>
          <w:iCs/>
          <w:lang w:val="es-ES"/>
        </w:rPr>
        <w:t>enfermedad pública</w:t>
      </w:r>
      <w:r>
        <w:rPr>
          <w:rFonts w:ascii="Cambria" w:hAnsi="Cambria"/>
          <w:lang w:val="es-ES"/>
        </w:rPr>
        <w:t>.</w:t>
      </w:r>
    </w:p>
    <w:p w:rsidR="00372FB6" w:rsidRPr="005D1E27" w:rsidRDefault="00372FB6" w:rsidP="00372FB6">
      <w:pPr>
        <w:pStyle w:val="Prrafodelista"/>
        <w:numPr>
          <w:ilvl w:val="2"/>
          <w:numId w:val="6"/>
        </w:numPr>
        <w:spacing w:after="60" w:line="276" w:lineRule="auto"/>
        <w:contextualSpacing w:val="0"/>
        <w:jc w:val="both"/>
        <w:rPr>
          <w:rFonts w:ascii="Cambria" w:hAnsi="Cambria"/>
          <w:lang w:val="es-ES"/>
        </w:rPr>
      </w:pPr>
      <w:r>
        <w:rPr>
          <w:rFonts w:ascii="Cambria" w:hAnsi="Cambria" w:cstheme="minorHAnsi"/>
          <w:iCs/>
          <w:kern w:val="1"/>
        </w:rPr>
        <w:t xml:space="preserve">El concepto de </w:t>
      </w:r>
      <w:r w:rsidRPr="003E7EF0">
        <w:rPr>
          <w:rFonts w:ascii="Cambria" w:hAnsi="Cambria" w:cstheme="minorHAnsi"/>
          <w:i/>
          <w:kern w:val="1"/>
        </w:rPr>
        <w:t>militarización</w:t>
      </w:r>
      <w:r>
        <w:rPr>
          <w:rFonts w:ascii="Cambria" w:hAnsi="Cambria" w:cstheme="minorHAnsi"/>
          <w:i/>
          <w:kern w:val="1"/>
        </w:rPr>
        <w:t xml:space="preserve"> progresiva</w:t>
      </w:r>
      <w:r w:rsidRPr="003E7EF0">
        <w:rPr>
          <w:rFonts w:ascii="Cambria" w:hAnsi="Cambria" w:cstheme="minorHAnsi"/>
          <w:i/>
          <w:kern w:val="1"/>
        </w:rPr>
        <w:t xml:space="preserve"> de la sociedad</w:t>
      </w:r>
      <w:r>
        <w:rPr>
          <w:rFonts w:ascii="Cambria" w:hAnsi="Cambria" w:cstheme="minorHAnsi"/>
          <w:i/>
          <w:kern w:val="1"/>
        </w:rPr>
        <w:t xml:space="preserve"> civil</w:t>
      </w:r>
      <w:r>
        <w:rPr>
          <w:rFonts w:ascii="Cambria" w:hAnsi="Cambria" w:cstheme="minorHAnsi"/>
          <w:iCs/>
          <w:kern w:val="1"/>
        </w:rPr>
        <w:t xml:space="preserve"> y su importancia en el ámbito de la salud. Los experimentos humanos sin consentimiento; el gran engaño hospitalario del consentimiento informado para experimentar con drogas.</w:t>
      </w:r>
    </w:p>
    <w:p w:rsidR="00D04C16" w:rsidRPr="00D04C16" w:rsidRDefault="00D04C16" w:rsidP="00876D5D">
      <w:pPr>
        <w:pStyle w:val="Prrafodelista"/>
        <w:numPr>
          <w:ilvl w:val="0"/>
          <w:numId w:val="3"/>
        </w:numPr>
        <w:spacing w:after="200" w:line="276" w:lineRule="auto"/>
        <w:jc w:val="both"/>
        <w:rPr>
          <w:rFonts w:ascii="Cambria" w:hAnsi="Cambria"/>
          <w:lang w:val="es-ES"/>
        </w:rPr>
      </w:pPr>
      <w:r>
        <w:rPr>
          <w:rFonts w:ascii="Cambria" w:hAnsi="Cambria"/>
          <w:lang w:val="es-ES"/>
        </w:rPr>
        <w:t>Reseña del proceso de subordinación de las profesiones de la salud al mercado de la enfermedad.</w:t>
      </w:r>
    </w:p>
    <w:p w:rsidR="00740CD2" w:rsidRPr="00557D79" w:rsidRDefault="00DA6337" w:rsidP="00876D5D">
      <w:pPr>
        <w:pStyle w:val="Prrafodelista"/>
        <w:numPr>
          <w:ilvl w:val="0"/>
          <w:numId w:val="3"/>
        </w:numPr>
        <w:spacing w:after="200" w:line="276" w:lineRule="auto"/>
        <w:jc w:val="both"/>
        <w:rPr>
          <w:rFonts w:ascii="Cambria" w:hAnsi="Cambria"/>
          <w:lang w:val="es-ES"/>
        </w:rPr>
      </w:pPr>
      <w:r>
        <w:rPr>
          <w:rFonts w:ascii="Cambria" w:hAnsi="Cambria"/>
        </w:rPr>
        <w:t xml:space="preserve">Introducción a </w:t>
      </w:r>
      <w:r w:rsidR="00557D79">
        <w:rPr>
          <w:rFonts w:ascii="Cambria" w:hAnsi="Cambria"/>
        </w:rPr>
        <w:t xml:space="preserve">la </w:t>
      </w:r>
      <w:r w:rsidR="00557D79" w:rsidRPr="00557D79">
        <w:rPr>
          <w:rFonts w:ascii="Cambria" w:hAnsi="Cambria"/>
        </w:rPr>
        <w:t xml:space="preserve">matriz </w:t>
      </w:r>
      <w:r w:rsidR="00557D79">
        <w:rPr>
          <w:rFonts w:ascii="Cambria" w:hAnsi="Cambria"/>
        </w:rPr>
        <w:t>S</w:t>
      </w:r>
      <w:r w:rsidR="00557D79" w:rsidRPr="00557D79">
        <w:rPr>
          <w:rFonts w:ascii="Cambria" w:hAnsi="Cambria"/>
        </w:rPr>
        <w:t>istémico-</w:t>
      </w:r>
      <w:r w:rsidR="00557D79">
        <w:rPr>
          <w:rFonts w:ascii="Cambria" w:hAnsi="Cambria"/>
        </w:rPr>
        <w:t>C</w:t>
      </w:r>
      <w:r w:rsidR="00557D79" w:rsidRPr="00557D79">
        <w:rPr>
          <w:rFonts w:ascii="Cambria" w:hAnsi="Cambria"/>
        </w:rPr>
        <w:t xml:space="preserve">ontextual de la </w:t>
      </w:r>
      <w:r w:rsidR="00557D79">
        <w:rPr>
          <w:rFonts w:ascii="Cambria" w:hAnsi="Cambria"/>
        </w:rPr>
        <w:t>S</w:t>
      </w:r>
      <w:r w:rsidR="00557D79" w:rsidRPr="00557D79">
        <w:rPr>
          <w:rFonts w:ascii="Cambria" w:hAnsi="Cambria"/>
        </w:rPr>
        <w:t>alud-</w:t>
      </w:r>
      <w:r w:rsidR="00557D79">
        <w:rPr>
          <w:rFonts w:ascii="Cambria" w:hAnsi="Cambria"/>
        </w:rPr>
        <w:t>E</w:t>
      </w:r>
      <w:r w:rsidR="00557D79" w:rsidRPr="00557D79">
        <w:rPr>
          <w:rFonts w:ascii="Cambria" w:hAnsi="Cambria"/>
        </w:rPr>
        <w:t xml:space="preserve">nfermedad </w:t>
      </w:r>
      <w:r w:rsidR="00557D79">
        <w:rPr>
          <w:rFonts w:ascii="Cambria" w:hAnsi="Cambria"/>
        </w:rPr>
        <w:t>P</w:t>
      </w:r>
      <w:r w:rsidR="00557D79" w:rsidRPr="00557D79">
        <w:rPr>
          <w:rFonts w:ascii="Cambria" w:hAnsi="Cambria"/>
        </w:rPr>
        <w:t>úblicas</w:t>
      </w:r>
      <w:r>
        <w:rPr>
          <w:rFonts w:ascii="Cambria" w:hAnsi="Cambria"/>
        </w:rPr>
        <w:t>, su dinámica</w:t>
      </w:r>
      <w:r w:rsidR="00557D79">
        <w:rPr>
          <w:rFonts w:ascii="Cambria" w:hAnsi="Cambria"/>
        </w:rPr>
        <w:t xml:space="preserve"> y las condiciones de salud de la sociedad.</w:t>
      </w:r>
    </w:p>
    <w:p w:rsidR="009931EF" w:rsidRDefault="009931EF" w:rsidP="002A32E8">
      <w:pPr>
        <w:spacing w:after="120" w:line="276" w:lineRule="auto"/>
        <w:jc w:val="both"/>
        <w:rPr>
          <w:lang w:val="es-ES"/>
        </w:rPr>
      </w:pPr>
      <w:r w:rsidRPr="00557D79">
        <w:rPr>
          <w:b/>
          <w:bCs/>
          <w:lang w:val="es-ES"/>
        </w:rPr>
        <w:t>Módulo 2:</w:t>
      </w:r>
      <w:r w:rsidR="00CA112B">
        <w:rPr>
          <w:lang w:val="es-ES"/>
        </w:rPr>
        <w:t xml:space="preserve"> El Sistema Total de Salud-Enfermedad Pública</w:t>
      </w:r>
      <w:r w:rsidR="001E3047">
        <w:rPr>
          <w:lang w:val="es-ES"/>
        </w:rPr>
        <w:t>s</w:t>
      </w:r>
      <w:r w:rsidR="00CA112B">
        <w:rPr>
          <w:lang w:val="es-ES"/>
        </w:rPr>
        <w:t>.</w:t>
      </w:r>
    </w:p>
    <w:p w:rsidR="009931EF" w:rsidRDefault="00D9745F" w:rsidP="00557D79">
      <w:pPr>
        <w:pStyle w:val="Prrafodelista"/>
        <w:numPr>
          <w:ilvl w:val="0"/>
          <w:numId w:val="4"/>
        </w:numPr>
        <w:spacing w:after="60" w:line="276" w:lineRule="auto"/>
        <w:ind w:left="714" w:hanging="357"/>
        <w:contextualSpacing w:val="0"/>
        <w:jc w:val="both"/>
        <w:rPr>
          <w:rFonts w:ascii="Cambria" w:hAnsi="Cambria"/>
          <w:lang w:val="es-ES"/>
        </w:rPr>
      </w:pPr>
      <w:r w:rsidRPr="00557D79">
        <w:rPr>
          <w:rFonts w:ascii="Cambria" w:hAnsi="Cambria"/>
          <w:lang w:val="es-ES"/>
        </w:rPr>
        <w:t>Análisis crítico contextual del</w:t>
      </w:r>
      <w:r w:rsidR="00557D79">
        <w:rPr>
          <w:rFonts w:ascii="Cambria" w:hAnsi="Cambria"/>
          <w:lang w:val="es-ES"/>
        </w:rPr>
        <w:t xml:space="preserve"> Sistema Total de Salud-Enfermedad Públicas.</w:t>
      </w:r>
    </w:p>
    <w:p w:rsidR="00CA7133" w:rsidRDefault="00557D79" w:rsidP="00557D79">
      <w:pPr>
        <w:pStyle w:val="Prrafodelista"/>
        <w:numPr>
          <w:ilvl w:val="0"/>
          <w:numId w:val="4"/>
        </w:numPr>
        <w:spacing w:after="200" w:line="276" w:lineRule="auto"/>
        <w:jc w:val="both"/>
        <w:rPr>
          <w:rFonts w:ascii="Cambria" w:hAnsi="Cambria"/>
          <w:lang w:val="es-ES"/>
        </w:rPr>
      </w:pPr>
      <w:r>
        <w:rPr>
          <w:rFonts w:ascii="Cambria" w:hAnsi="Cambria"/>
          <w:lang w:val="es-ES"/>
        </w:rPr>
        <w:t>Factores de poder y componentes emancipatorios.</w:t>
      </w:r>
    </w:p>
    <w:p w:rsidR="00CA7133" w:rsidRDefault="00CA7133" w:rsidP="00557D79">
      <w:pPr>
        <w:pStyle w:val="Prrafodelista"/>
        <w:numPr>
          <w:ilvl w:val="0"/>
          <w:numId w:val="4"/>
        </w:numPr>
        <w:spacing w:after="200" w:line="276" w:lineRule="auto"/>
        <w:jc w:val="both"/>
        <w:rPr>
          <w:rFonts w:ascii="Cambria" w:hAnsi="Cambria"/>
          <w:lang w:val="es-ES"/>
        </w:rPr>
      </w:pPr>
      <w:r>
        <w:rPr>
          <w:rFonts w:ascii="Cambria" w:hAnsi="Cambria"/>
          <w:lang w:val="es-ES"/>
        </w:rPr>
        <w:t xml:space="preserve">La perjudicial naturaleza pasiva con la que las universidades forman a los y las profesionales de salud con los modelos de </w:t>
      </w:r>
      <w:r w:rsidRPr="00CA7133">
        <w:rPr>
          <w:rFonts w:ascii="Cambria" w:hAnsi="Cambria"/>
          <w:i/>
          <w:iCs/>
          <w:lang w:val="es-ES"/>
        </w:rPr>
        <w:t>práctica liberal de la profesión</w:t>
      </w:r>
      <w:r>
        <w:rPr>
          <w:rFonts w:ascii="Cambria" w:hAnsi="Cambria"/>
          <w:lang w:val="es-ES"/>
        </w:rPr>
        <w:t xml:space="preserve"> y de </w:t>
      </w:r>
      <w:r>
        <w:rPr>
          <w:rFonts w:ascii="Cambria" w:hAnsi="Cambria"/>
          <w:i/>
          <w:iCs/>
          <w:lang w:val="es-ES"/>
        </w:rPr>
        <w:t>consultorio privado</w:t>
      </w:r>
      <w:r>
        <w:rPr>
          <w:rFonts w:ascii="Cambria" w:hAnsi="Cambria"/>
          <w:lang w:val="es-ES"/>
        </w:rPr>
        <w:t>.</w:t>
      </w:r>
    </w:p>
    <w:p w:rsidR="005E3D0D" w:rsidRDefault="005E3D0D" w:rsidP="00557D79">
      <w:pPr>
        <w:pStyle w:val="Prrafodelista"/>
        <w:numPr>
          <w:ilvl w:val="0"/>
          <w:numId w:val="4"/>
        </w:numPr>
        <w:spacing w:after="200" w:line="276" w:lineRule="auto"/>
        <w:jc w:val="both"/>
        <w:rPr>
          <w:rFonts w:ascii="Cambria" w:hAnsi="Cambria"/>
          <w:lang w:val="es-ES"/>
        </w:rPr>
      </w:pPr>
      <w:r>
        <w:rPr>
          <w:rFonts w:ascii="Cambria" w:hAnsi="Cambria"/>
          <w:lang w:val="es-ES"/>
        </w:rPr>
        <w:t>La trascendental importancia del Primer Nivel de Atención de los Sub-sistemas Públicos de Atención de la Salud</w:t>
      </w:r>
      <w:r w:rsidR="00B27034">
        <w:rPr>
          <w:rFonts w:ascii="Cambria" w:hAnsi="Cambria"/>
          <w:lang w:val="es-ES"/>
        </w:rPr>
        <w:t>; la “membrana osmótica” entre los saberes y prácticas de salud profesional y los saberes y prácticas de salud popular.</w:t>
      </w:r>
    </w:p>
    <w:p w:rsidR="00CA7133" w:rsidRDefault="00CA7133" w:rsidP="00557D79">
      <w:pPr>
        <w:pStyle w:val="Prrafodelista"/>
        <w:numPr>
          <w:ilvl w:val="0"/>
          <w:numId w:val="4"/>
        </w:numPr>
        <w:spacing w:after="200" w:line="276" w:lineRule="auto"/>
        <w:jc w:val="both"/>
        <w:rPr>
          <w:rFonts w:ascii="Cambria" w:hAnsi="Cambria"/>
          <w:lang w:val="es-ES"/>
        </w:rPr>
      </w:pPr>
      <w:r>
        <w:rPr>
          <w:rFonts w:ascii="Cambria" w:hAnsi="Cambria"/>
          <w:lang w:val="es-ES"/>
        </w:rPr>
        <w:t xml:space="preserve">La necesidad de </w:t>
      </w:r>
      <w:r w:rsidRPr="00D52956">
        <w:rPr>
          <w:rFonts w:ascii="Cambria" w:hAnsi="Cambria"/>
          <w:i/>
          <w:iCs/>
          <w:lang w:val="es-ES"/>
        </w:rPr>
        <w:t>profesionales activos</w:t>
      </w:r>
      <w:r>
        <w:rPr>
          <w:rFonts w:ascii="Cambria" w:hAnsi="Cambria"/>
          <w:lang w:val="es-ES"/>
        </w:rPr>
        <w:t xml:space="preserve"> en el primer nivel de atención para que trabajen en función de </w:t>
      </w:r>
      <w:r w:rsidRPr="00CA7133">
        <w:rPr>
          <w:rFonts w:ascii="Cambria" w:hAnsi="Cambria"/>
          <w:i/>
          <w:iCs/>
          <w:lang w:val="es-ES"/>
        </w:rPr>
        <w:t>prácticas multidisciplinares ecosistémicas de salud comunitaria</w:t>
      </w:r>
      <w:r w:rsidR="00D52956">
        <w:rPr>
          <w:rFonts w:ascii="Cambria" w:hAnsi="Cambria"/>
          <w:lang w:val="es-ES"/>
        </w:rPr>
        <w:t>; la Gestión de Salud Positiva.</w:t>
      </w:r>
    </w:p>
    <w:p w:rsidR="00EB6656" w:rsidRPr="002A32E8" w:rsidRDefault="00EB6656" w:rsidP="00EB6656">
      <w:pPr>
        <w:pStyle w:val="Prrafodelista"/>
        <w:numPr>
          <w:ilvl w:val="0"/>
          <w:numId w:val="4"/>
        </w:numPr>
        <w:spacing w:after="200" w:line="276" w:lineRule="auto"/>
        <w:jc w:val="both"/>
        <w:rPr>
          <w:rFonts w:ascii="Cambria" w:hAnsi="Cambria"/>
          <w:lang w:val="es-ES"/>
        </w:rPr>
      </w:pPr>
      <w:r>
        <w:rPr>
          <w:rFonts w:ascii="Cambria" w:hAnsi="Cambria"/>
          <w:lang w:val="es-ES"/>
        </w:rPr>
        <w:t xml:space="preserve">Un caso ejemplar: el 13 de enero de 2020 se crea la Universidad de la Salud del Gobierno de la Ciudad de México y las carreras de </w:t>
      </w:r>
      <w:r w:rsidRPr="00C54D98">
        <w:rPr>
          <w:rFonts w:ascii="Cambria" w:hAnsi="Cambria"/>
          <w:lang w:val="es-ES"/>
        </w:rPr>
        <w:t>Licenciatura en Medicina Familiar y Comunitaria</w:t>
      </w:r>
      <w:r>
        <w:rPr>
          <w:rFonts w:ascii="Cambria" w:hAnsi="Cambria"/>
          <w:lang w:val="es-ES"/>
        </w:rPr>
        <w:t xml:space="preserve">, y </w:t>
      </w:r>
      <w:r w:rsidRPr="00C54D98">
        <w:rPr>
          <w:rFonts w:ascii="Cambria" w:hAnsi="Cambria"/>
          <w:lang w:val="es-ES"/>
        </w:rPr>
        <w:t xml:space="preserve">Licenciatura en </w:t>
      </w:r>
      <w:r>
        <w:rPr>
          <w:rFonts w:ascii="Cambria" w:hAnsi="Cambria"/>
          <w:lang w:val="es-ES"/>
        </w:rPr>
        <w:t xml:space="preserve">Enfermería </w:t>
      </w:r>
      <w:r w:rsidRPr="00C54D98">
        <w:rPr>
          <w:rFonts w:ascii="Cambria" w:hAnsi="Cambria"/>
          <w:lang w:val="es-ES"/>
        </w:rPr>
        <w:t>Familiar y Comunitaria</w:t>
      </w:r>
      <w:r>
        <w:rPr>
          <w:rFonts w:ascii="Cambria" w:hAnsi="Cambria"/>
          <w:lang w:val="es-ES"/>
        </w:rPr>
        <w:t>.</w:t>
      </w:r>
    </w:p>
    <w:p w:rsidR="00557D79" w:rsidRPr="00557D79" w:rsidRDefault="002A32E8" w:rsidP="00557D79">
      <w:pPr>
        <w:pStyle w:val="Prrafodelista"/>
        <w:numPr>
          <w:ilvl w:val="0"/>
          <w:numId w:val="4"/>
        </w:numPr>
        <w:spacing w:after="200" w:line="276" w:lineRule="auto"/>
        <w:jc w:val="both"/>
        <w:rPr>
          <w:rFonts w:ascii="Cambria" w:hAnsi="Cambria"/>
          <w:lang w:val="es-ES"/>
        </w:rPr>
      </w:pPr>
      <w:r>
        <w:rPr>
          <w:rFonts w:ascii="Cambria" w:hAnsi="Cambria"/>
          <w:lang w:val="es-ES"/>
        </w:rPr>
        <w:lastRenderedPageBreak/>
        <w:t>La restauración del poder de decisión</w:t>
      </w:r>
      <w:r w:rsidR="00D52956">
        <w:rPr>
          <w:rFonts w:ascii="Cambria" w:hAnsi="Cambria"/>
          <w:lang w:val="es-ES"/>
        </w:rPr>
        <w:t xml:space="preserve"> </w:t>
      </w:r>
      <w:r w:rsidR="005D1E27">
        <w:rPr>
          <w:rFonts w:ascii="Cambria" w:hAnsi="Cambria"/>
          <w:lang w:val="es-ES"/>
        </w:rPr>
        <w:t xml:space="preserve">–con respecto a su salud– </w:t>
      </w:r>
      <w:r>
        <w:rPr>
          <w:rFonts w:ascii="Cambria" w:hAnsi="Cambria"/>
          <w:lang w:val="es-ES"/>
        </w:rPr>
        <w:t>a las personas, las familias y las comunidades.</w:t>
      </w:r>
    </w:p>
    <w:p w:rsidR="009931EF" w:rsidRDefault="009931EF" w:rsidP="002A32E8">
      <w:pPr>
        <w:spacing w:after="120" w:line="276" w:lineRule="auto"/>
        <w:ind w:left="992" w:hanging="992"/>
        <w:jc w:val="both"/>
        <w:rPr>
          <w:lang w:val="es-ES"/>
        </w:rPr>
      </w:pPr>
      <w:r w:rsidRPr="00557D79">
        <w:rPr>
          <w:b/>
          <w:bCs/>
          <w:lang w:val="es-ES"/>
        </w:rPr>
        <w:t>Módulo 3:</w:t>
      </w:r>
      <w:r w:rsidR="00CA112B">
        <w:rPr>
          <w:lang w:val="es-ES"/>
        </w:rPr>
        <w:t xml:space="preserve"> El neocolonialismo</w:t>
      </w:r>
      <w:r w:rsidR="00A972FA">
        <w:rPr>
          <w:lang w:val="es-ES"/>
        </w:rPr>
        <w:t xml:space="preserve"> extranjero y el colonialismo interno</w:t>
      </w:r>
      <w:r w:rsidR="00CA112B">
        <w:rPr>
          <w:lang w:val="es-ES"/>
        </w:rPr>
        <w:t xml:space="preserve"> </w:t>
      </w:r>
      <w:r w:rsidR="00A972FA">
        <w:rPr>
          <w:lang w:val="es-ES"/>
        </w:rPr>
        <w:t>en el ámbito de la salud.</w:t>
      </w:r>
    </w:p>
    <w:p w:rsidR="00FC6F2E" w:rsidRDefault="00FC6F2E" w:rsidP="002A32E8">
      <w:pPr>
        <w:pStyle w:val="Prrafodelista"/>
        <w:numPr>
          <w:ilvl w:val="0"/>
          <w:numId w:val="5"/>
        </w:numPr>
        <w:spacing w:after="60" w:line="276" w:lineRule="auto"/>
        <w:ind w:left="714" w:hanging="357"/>
        <w:contextualSpacing w:val="0"/>
        <w:jc w:val="both"/>
        <w:rPr>
          <w:rFonts w:ascii="Cambria" w:hAnsi="Cambria"/>
          <w:lang w:val="es-ES"/>
        </w:rPr>
      </w:pPr>
      <w:r>
        <w:rPr>
          <w:rFonts w:ascii="Cambria" w:hAnsi="Cambria"/>
          <w:lang w:val="es-ES"/>
        </w:rPr>
        <w:t>El contexto del poder y el neocolonialismo.</w:t>
      </w:r>
    </w:p>
    <w:p w:rsidR="00FC6F2E" w:rsidRDefault="00FC6F2E" w:rsidP="002A32E8">
      <w:pPr>
        <w:pStyle w:val="Prrafodelista"/>
        <w:numPr>
          <w:ilvl w:val="0"/>
          <w:numId w:val="5"/>
        </w:numPr>
        <w:spacing w:after="60" w:line="276" w:lineRule="auto"/>
        <w:ind w:left="714" w:hanging="357"/>
        <w:contextualSpacing w:val="0"/>
        <w:jc w:val="both"/>
        <w:rPr>
          <w:rFonts w:ascii="Cambria" w:hAnsi="Cambria"/>
          <w:lang w:val="es-ES"/>
        </w:rPr>
      </w:pPr>
      <w:r>
        <w:rPr>
          <w:rFonts w:ascii="Cambria" w:hAnsi="Cambria"/>
          <w:lang w:val="es-ES"/>
        </w:rPr>
        <w:t>El contexto de las concepciones y prácticas de salud y el colonialismo interno.</w:t>
      </w:r>
    </w:p>
    <w:p w:rsidR="00FC6F2E" w:rsidRDefault="00FC6F2E" w:rsidP="002A32E8">
      <w:pPr>
        <w:pStyle w:val="Prrafodelista"/>
        <w:numPr>
          <w:ilvl w:val="0"/>
          <w:numId w:val="5"/>
        </w:numPr>
        <w:spacing w:after="60" w:line="276" w:lineRule="auto"/>
        <w:ind w:left="714" w:hanging="357"/>
        <w:contextualSpacing w:val="0"/>
        <w:jc w:val="both"/>
        <w:rPr>
          <w:rFonts w:ascii="Cambria" w:hAnsi="Cambria"/>
          <w:lang w:val="es-ES"/>
        </w:rPr>
      </w:pPr>
      <w:r>
        <w:rPr>
          <w:rFonts w:ascii="Cambria" w:hAnsi="Cambria"/>
          <w:lang w:val="es-ES"/>
        </w:rPr>
        <w:t>El contexto de la enfermedad pública, el neocolonialismo y el colonialismo interno.</w:t>
      </w:r>
    </w:p>
    <w:p w:rsidR="00FC6F2E" w:rsidRDefault="00FC6F2E" w:rsidP="002A32E8">
      <w:pPr>
        <w:pStyle w:val="Prrafodelista"/>
        <w:numPr>
          <w:ilvl w:val="0"/>
          <w:numId w:val="5"/>
        </w:numPr>
        <w:spacing w:after="60" w:line="276" w:lineRule="auto"/>
        <w:ind w:left="714" w:hanging="357"/>
        <w:contextualSpacing w:val="0"/>
        <w:jc w:val="both"/>
        <w:rPr>
          <w:rFonts w:ascii="Cambria" w:hAnsi="Cambria"/>
          <w:lang w:val="es-ES"/>
        </w:rPr>
      </w:pPr>
      <w:r>
        <w:rPr>
          <w:rFonts w:ascii="Cambria" w:hAnsi="Cambria"/>
          <w:lang w:val="es-ES"/>
        </w:rPr>
        <w:t>El contexto de las vertientes operativas de la salud y los procesos de dominación extranjera e interna.</w:t>
      </w:r>
    </w:p>
    <w:p w:rsidR="00FC6F2E" w:rsidRDefault="00FC6F2E" w:rsidP="002A32E8">
      <w:pPr>
        <w:pStyle w:val="Prrafodelista"/>
        <w:numPr>
          <w:ilvl w:val="0"/>
          <w:numId w:val="5"/>
        </w:numPr>
        <w:spacing w:after="60" w:line="276" w:lineRule="auto"/>
        <w:ind w:left="714" w:hanging="357"/>
        <w:contextualSpacing w:val="0"/>
        <w:jc w:val="both"/>
        <w:rPr>
          <w:rFonts w:ascii="Cambria" w:hAnsi="Cambria"/>
          <w:lang w:val="es-ES"/>
        </w:rPr>
      </w:pPr>
      <w:r>
        <w:rPr>
          <w:rFonts w:ascii="Cambria" w:hAnsi="Cambria"/>
          <w:lang w:val="es-ES"/>
        </w:rPr>
        <w:t>El contexto de las profesiones de las ciencia</w:t>
      </w:r>
      <w:r w:rsidR="007D41FB">
        <w:rPr>
          <w:rFonts w:ascii="Cambria" w:hAnsi="Cambria"/>
          <w:lang w:val="es-ES"/>
        </w:rPr>
        <w:t>s</w:t>
      </w:r>
      <w:r>
        <w:rPr>
          <w:rFonts w:ascii="Cambria" w:hAnsi="Cambria"/>
          <w:lang w:val="es-ES"/>
        </w:rPr>
        <w:t xml:space="preserve"> de la salud</w:t>
      </w:r>
      <w:r w:rsidR="00CA7C1C">
        <w:rPr>
          <w:rFonts w:ascii="Cambria" w:hAnsi="Cambria"/>
          <w:lang w:val="es-ES"/>
        </w:rPr>
        <w:t>;</w:t>
      </w:r>
      <w:r>
        <w:rPr>
          <w:rFonts w:ascii="Cambria" w:hAnsi="Cambria"/>
          <w:lang w:val="es-ES"/>
        </w:rPr>
        <w:t xml:space="preserve"> el debilitamiento </w:t>
      </w:r>
      <w:r w:rsidR="00CA7C1C">
        <w:rPr>
          <w:rFonts w:ascii="Cambria" w:hAnsi="Cambria"/>
          <w:lang w:val="es-ES"/>
        </w:rPr>
        <w:t xml:space="preserve">y la vulnerabilidad </w:t>
      </w:r>
      <w:r>
        <w:rPr>
          <w:rFonts w:ascii="Cambria" w:hAnsi="Cambria"/>
          <w:lang w:val="es-ES"/>
        </w:rPr>
        <w:t>nacional.</w:t>
      </w:r>
    </w:p>
    <w:p w:rsidR="007F590A" w:rsidRDefault="007F590A" w:rsidP="00E37623">
      <w:pPr>
        <w:pStyle w:val="Prrafodelista"/>
        <w:numPr>
          <w:ilvl w:val="0"/>
          <w:numId w:val="8"/>
        </w:numPr>
        <w:spacing w:after="60" w:line="276" w:lineRule="auto"/>
        <w:ind w:left="1491" w:hanging="357"/>
        <w:contextualSpacing w:val="0"/>
        <w:jc w:val="both"/>
        <w:rPr>
          <w:rFonts w:ascii="Cambria" w:hAnsi="Cambria"/>
          <w:lang w:val="es-ES"/>
        </w:rPr>
      </w:pPr>
      <w:r>
        <w:rPr>
          <w:rFonts w:ascii="Cambria" w:hAnsi="Cambria"/>
          <w:lang w:val="es-ES"/>
        </w:rPr>
        <w:t xml:space="preserve">¿Quién habilita los títulos profesionales para atender a la sociedad? ¿Instituciones </w:t>
      </w:r>
      <w:r w:rsidR="00E37623">
        <w:rPr>
          <w:rFonts w:ascii="Cambria" w:hAnsi="Cambria"/>
          <w:lang w:val="es-ES"/>
        </w:rPr>
        <w:t>académicas</w:t>
      </w:r>
      <w:r>
        <w:rPr>
          <w:rFonts w:ascii="Cambria" w:hAnsi="Cambria"/>
          <w:lang w:val="es-ES"/>
        </w:rPr>
        <w:t xml:space="preserve"> o la sociedad misma a través de su Estado? ¿Quién controla su actualización continua?</w:t>
      </w:r>
    </w:p>
    <w:p w:rsidR="007F590A" w:rsidRDefault="007F590A" w:rsidP="00E37623">
      <w:pPr>
        <w:pStyle w:val="Prrafodelista"/>
        <w:numPr>
          <w:ilvl w:val="0"/>
          <w:numId w:val="8"/>
        </w:numPr>
        <w:spacing w:after="60" w:line="276" w:lineRule="auto"/>
        <w:ind w:left="1491" w:hanging="357"/>
        <w:contextualSpacing w:val="0"/>
        <w:jc w:val="both"/>
        <w:rPr>
          <w:rFonts w:ascii="Cambria" w:hAnsi="Cambria"/>
          <w:lang w:val="es-ES"/>
        </w:rPr>
      </w:pPr>
      <w:r>
        <w:rPr>
          <w:rFonts w:ascii="Cambria" w:hAnsi="Cambria"/>
          <w:lang w:val="es-ES"/>
        </w:rPr>
        <w:t>El gran problema de la formación de profesionales a destajo y la carencia de una habilitación continua. La tríada peligrosa.</w:t>
      </w:r>
    </w:p>
    <w:p w:rsidR="00FC6F2E" w:rsidRDefault="00FC6F2E" w:rsidP="002A32E8">
      <w:pPr>
        <w:pStyle w:val="Prrafodelista"/>
        <w:numPr>
          <w:ilvl w:val="0"/>
          <w:numId w:val="5"/>
        </w:numPr>
        <w:spacing w:after="60" w:line="276" w:lineRule="auto"/>
        <w:ind w:left="714" w:hanging="357"/>
        <w:contextualSpacing w:val="0"/>
        <w:jc w:val="both"/>
        <w:rPr>
          <w:rFonts w:ascii="Cambria" w:hAnsi="Cambria"/>
          <w:lang w:val="es-ES"/>
        </w:rPr>
      </w:pPr>
      <w:r>
        <w:rPr>
          <w:rFonts w:ascii="Cambria" w:hAnsi="Cambria"/>
          <w:lang w:val="es-ES"/>
        </w:rPr>
        <w:t>El contexto de la producción y circulación del conocimiento y formación de los recursos humanos del escenario de la salud y la vulnerabilidad de la sociedad.</w:t>
      </w:r>
    </w:p>
    <w:p w:rsidR="002A32E8" w:rsidRPr="00E37623" w:rsidRDefault="00361C94" w:rsidP="00E37623">
      <w:pPr>
        <w:pStyle w:val="Prrafodelista"/>
        <w:numPr>
          <w:ilvl w:val="0"/>
          <w:numId w:val="9"/>
        </w:numPr>
        <w:spacing w:after="200" w:line="276" w:lineRule="auto"/>
        <w:ind w:left="1491" w:hanging="357"/>
        <w:jc w:val="both"/>
        <w:rPr>
          <w:rFonts w:ascii="Cambria" w:hAnsi="Cambria" w:cs="Times New Roman"/>
          <w:lang w:val="es-ES"/>
        </w:rPr>
      </w:pPr>
      <w:r w:rsidRPr="00E37623">
        <w:rPr>
          <w:rFonts w:ascii="Cambria" w:hAnsi="Cambria" w:cs="Times New Roman"/>
          <w:lang w:val="es-ES"/>
        </w:rPr>
        <w:t>Los grandes benefactores de las sociedades</w:t>
      </w:r>
      <w:r w:rsidR="00A972FA" w:rsidRPr="00E37623">
        <w:rPr>
          <w:rFonts w:ascii="Cambria" w:hAnsi="Cambria" w:cs="Times New Roman"/>
          <w:lang w:val="es-ES"/>
        </w:rPr>
        <w:t xml:space="preserve"> y la dificultosa lucha contra el engaño </w:t>
      </w:r>
      <w:r w:rsidR="00CA7133" w:rsidRPr="00E37623">
        <w:rPr>
          <w:rFonts w:ascii="Cambria" w:hAnsi="Cambria" w:cs="Times New Roman"/>
          <w:lang w:val="es-ES"/>
        </w:rPr>
        <w:t>generalizado en el ámbito de la salud.</w:t>
      </w:r>
    </w:p>
    <w:p w:rsidR="00CA112B" w:rsidRPr="00CA112B" w:rsidRDefault="00CA112B" w:rsidP="00181238">
      <w:pPr>
        <w:spacing w:after="200" w:line="276" w:lineRule="auto"/>
        <w:jc w:val="both"/>
        <w:rPr>
          <w:b/>
          <w:bCs/>
          <w:lang w:val="es-ES"/>
        </w:rPr>
      </w:pPr>
      <w:r w:rsidRPr="00CA112B">
        <w:rPr>
          <w:b/>
          <w:bCs/>
          <w:lang w:val="es-ES"/>
        </w:rPr>
        <w:t>Bibliografía básica</w:t>
      </w:r>
    </w:p>
    <w:p w:rsidR="00CA112B" w:rsidRDefault="00CA112B" w:rsidP="00CA112B">
      <w:pPr>
        <w:tabs>
          <w:tab w:val="left" w:pos="2835"/>
        </w:tabs>
        <w:spacing w:before="80"/>
        <w:ind w:left="340" w:hanging="340"/>
        <w:jc w:val="both"/>
      </w:pPr>
      <w:r>
        <w:rPr>
          <w:rFonts w:eastAsia="Times New Roman" w:cs="Times New Roman"/>
          <w:bCs/>
          <w:lang w:val="es-ES" w:eastAsia="es-ES_tradnl"/>
        </w:rPr>
        <w:t xml:space="preserve">Fernández </w:t>
      </w:r>
      <w:proofErr w:type="spellStart"/>
      <w:r>
        <w:rPr>
          <w:rFonts w:eastAsia="Times New Roman" w:cs="Times New Roman"/>
          <w:bCs/>
          <w:lang w:val="es-ES" w:eastAsia="es-ES_tradnl"/>
        </w:rPr>
        <w:t>Enguita</w:t>
      </w:r>
      <w:proofErr w:type="spellEnd"/>
      <w:r>
        <w:rPr>
          <w:rFonts w:eastAsia="Times New Roman" w:cs="Times New Roman"/>
          <w:bCs/>
          <w:lang w:val="es-ES" w:eastAsia="es-ES_tradnl"/>
        </w:rPr>
        <w:t xml:space="preserve">, M.  (2005). Nombrar lo innombrable, o lo difícil que resulta criticar el poder profesional – Desde la profesión (A propósito de </w:t>
      </w:r>
      <w:proofErr w:type="spellStart"/>
      <w:r>
        <w:rPr>
          <w:rFonts w:eastAsia="Times New Roman" w:cs="Times New Roman"/>
          <w:bCs/>
          <w:lang w:val="es-ES" w:eastAsia="es-ES_tradnl"/>
        </w:rPr>
        <w:t>Ivan</w:t>
      </w:r>
      <w:proofErr w:type="spellEnd"/>
      <w:r>
        <w:rPr>
          <w:rFonts w:eastAsia="Times New Roman" w:cs="Times New Roman"/>
          <w:bCs/>
          <w:lang w:val="es-ES" w:eastAsia="es-ES_tradnl"/>
        </w:rPr>
        <w:t xml:space="preserve"> </w:t>
      </w:r>
      <w:proofErr w:type="spellStart"/>
      <w:r>
        <w:rPr>
          <w:rFonts w:eastAsia="Times New Roman" w:cs="Times New Roman"/>
          <w:bCs/>
          <w:lang w:val="es-ES" w:eastAsia="es-ES_tradnl"/>
        </w:rPr>
        <w:t>Illich</w:t>
      </w:r>
      <w:proofErr w:type="spellEnd"/>
      <w:r>
        <w:rPr>
          <w:rFonts w:eastAsia="Times New Roman" w:cs="Times New Roman"/>
          <w:bCs/>
          <w:lang w:val="es-ES" w:eastAsia="es-ES_tradnl"/>
        </w:rPr>
        <w:t xml:space="preserve">). </w:t>
      </w:r>
      <w:r w:rsidRPr="00707806">
        <w:t>Educação Temática Digital, Campinas, n.6, v.2, pp.128-136</w:t>
      </w:r>
      <w:r>
        <w:t>.</w:t>
      </w:r>
    </w:p>
    <w:p w:rsidR="00CA112B" w:rsidRDefault="00CA112B" w:rsidP="00CA112B">
      <w:pPr>
        <w:tabs>
          <w:tab w:val="left" w:pos="2835"/>
        </w:tabs>
        <w:spacing w:before="80"/>
        <w:ind w:left="340" w:hanging="340"/>
        <w:jc w:val="both"/>
      </w:pPr>
      <w:r>
        <w:t>Gérvas, J. (2008). Enfermedad: ciencia y ficción. AMF (Actualización en Medicina de Familia) 4 (1), pp. 2-3.</w:t>
      </w:r>
    </w:p>
    <w:p w:rsidR="00CA112B" w:rsidRDefault="00CA112B" w:rsidP="00CA112B">
      <w:pPr>
        <w:tabs>
          <w:tab w:val="left" w:pos="2835"/>
        </w:tabs>
        <w:spacing w:before="80"/>
        <w:ind w:left="340" w:hanging="340"/>
        <w:jc w:val="both"/>
      </w:pPr>
      <w:r>
        <w:t>Gérvas Camacho, J.; Gavilán Moral, E. y Jiménez de Gracia, L. (2012). Prevención cuaternaria: es posible (y deseable) una asistencia sanitaria menos dañina. AMF 8 (6), pp. 312-317.</w:t>
      </w:r>
    </w:p>
    <w:p w:rsidR="00EF70F8" w:rsidRDefault="00EF70F8" w:rsidP="00EF70F8">
      <w:pPr>
        <w:tabs>
          <w:tab w:val="left" w:pos="2835"/>
        </w:tabs>
        <w:spacing w:before="80"/>
        <w:ind w:left="340" w:hanging="340"/>
        <w:jc w:val="both"/>
      </w:pPr>
      <w:r w:rsidRPr="003B6F57">
        <w:rPr>
          <w:lang w:val="es-ES"/>
        </w:rPr>
        <w:t xml:space="preserve">Gobierno Ciudad de México (2020). </w:t>
      </w:r>
      <w:r w:rsidRPr="003B6F57">
        <w:t>Decreto por el que se crea el órgano desconcentrado denominado, Universidad de la Salud</w:t>
      </w:r>
      <w:r>
        <w:t>. Gaceta Oficial de la Ciudad de México Nº 260.</w:t>
      </w:r>
    </w:p>
    <w:p w:rsidR="00CA112B" w:rsidRDefault="00CA112B" w:rsidP="00CA112B">
      <w:pPr>
        <w:tabs>
          <w:tab w:val="left" w:pos="2835"/>
        </w:tabs>
        <w:spacing w:before="80"/>
        <w:ind w:left="340" w:hanging="340"/>
        <w:jc w:val="both"/>
        <w:rPr>
          <w:lang w:val="es-ES"/>
        </w:rPr>
      </w:pPr>
      <w:proofErr w:type="spellStart"/>
      <w:r>
        <w:rPr>
          <w:lang w:val="es-ES"/>
        </w:rPr>
        <w:t>Illich</w:t>
      </w:r>
      <w:proofErr w:type="spellEnd"/>
      <w:r>
        <w:rPr>
          <w:lang w:val="es-ES"/>
        </w:rPr>
        <w:t>, I. (1975). Némesis médica. La expropiación de la salud. Barcelona, Barral Editores.</w:t>
      </w:r>
    </w:p>
    <w:p w:rsidR="00E45EB3" w:rsidRDefault="00E45EB3" w:rsidP="00CA112B">
      <w:pPr>
        <w:tabs>
          <w:tab w:val="left" w:pos="2835"/>
        </w:tabs>
        <w:spacing w:before="80"/>
        <w:ind w:left="340" w:hanging="340"/>
        <w:jc w:val="both"/>
        <w:rPr>
          <w:lang w:val="es-ES"/>
        </w:rPr>
      </w:pPr>
      <w:proofErr w:type="spellStart"/>
      <w:r>
        <w:rPr>
          <w:lang w:val="es-ES"/>
        </w:rPr>
        <w:t>Illich</w:t>
      </w:r>
      <w:proofErr w:type="spellEnd"/>
      <w:r>
        <w:rPr>
          <w:lang w:val="es-ES"/>
        </w:rPr>
        <w:t xml:space="preserve">, I. </w:t>
      </w:r>
      <w:r w:rsidR="009B6F8B">
        <w:rPr>
          <w:lang w:val="es-ES"/>
        </w:rPr>
        <w:t>(1977). Profesiones deshabilitantes. San Luís, Comunidad de Aprendizaje Caranday. También publicado en (</w:t>
      </w:r>
      <w:r w:rsidR="009B6F8B">
        <w:t xml:space="preserve">Entrada </w:t>
      </w:r>
      <w:r w:rsidR="009B6F8B">
        <w:rPr>
          <w:rFonts w:eastAsia="Times New Roman" w:cs="Times New Roman"/>
          <w:lang w:eastAsia="es-ES_tradnl"/>
        </w:rPr>
        <w:t>05-12-</w:t>
      </w:r>
      <w:r w:rsidR="009B6F8B">
        <w:t>19):</w:t>
      </w:r>
      <w:r w:rsidR="009B6F8B">
        <w:rPr>
          <w:lang w:val="es-ES"/>
        </w:rPr>
        <w:t xml:space="preserve"> </w:t>
      </w:r>
      <w:hyperlink r:id="rId7" w:history="1">
        <w:r w:rsidR="009B6F8B" w:rsidRPr="002F2705">
          <w:rPr>
            <w:rStyle w:val="Hipervnculo"/>
            <w:lang w:val="es-ES"/>
          </w:rPr>
          <w:t>https://vdocuments.site/</w:t>
        </w:r>
      </w:hyperlink>
      <w:r w:rsidR="009B6F8B">
        <w:rPr>
          <w:lang w:val="es-ES"/>
        </w:rPr>
        <w:t xml:space="preserve"> </w:t>
      </w:r>
    </w:p>
    <w:p w:rsidR="00CA112B" w:rsidRPr="0004625F" w:rsidRDefault="00CA112B" w:rsidP="00CA112B">
      <w:pPr>
        <w:tabs>
          <w:tab w:val="left" w:pos="2835"/>
        </w:tabs>
        <w:spacing w:before="80"/>
        <w:ind w:left="340" w:hanging="340"/>
        <w:jc w:val="both"/>
      </w:pPr>
      <w:r w:rsidRPr="0004625F">
        <w:rPr>
          <w:lang w:eastAsia="es-ES_tradnl"/>
        </w:rPr>
        <w:t xml:space="preserve">Juárez, M.P. y Saforcada, E. (2013). El problema de la barrera psicosociocultural interpuesta entre los profesionales de la salud y consultantes de contextos </w:t>
      </w:r>
      <w:r w:rsidRPr="0004625F">
        <w:rPr>
          <w:lang w:eastAsia="es-ES_tradnl"/>
        </w:rPr>
        <w:lastRenderedPageBreak/>
        <w:t>pobres estructurales. Reflexiones sobre una cuestión compleja. Salud &amp; Sociedad, V. 4, nº 3, pp.210-227.</w:t>
      </w:r>
    </w:p>
    <w:p w:rsidR="001D08ED" w:rsidRDefault="001D08ED" w:rsidP="00CA112B">
      <w:pPr>
        <w:tabs>
          <w:tab w:val="left" w:pos="2835"/>
        </w:tabs>
        <w:spacing w:before="80"/>
        <w:ind w:left="340" w:hanging="340"/>
        <w:jc w:val="both"/>
        <w:rPr>
          <w:rFonts w:eastAsia="Times New Roman" w:cs="Times New Roman"/>
          <w:bCs/>
          <w:lang w:eastAsia="es-ES_tradnl"/>
        </w:rPr>
      </w:pPr>
      <w:r>
        <w:rPr>
          <w:rFonts w:eastAsia="Times New Roman" w:cs="Times New Roman"/>
          <w:bCs/>
          <w:lang w:eastAsia="es-ES_tradnl"/>
        </w:rPr>
        <w:t xml:space="preserve">Micheletto, K. (2019). </w:t>
      </w:r>
      <w:r w:rsidRPr="00AE29CB">
        <w:t>Primer día internacional de la seguridad del paciente</w:t>
      </w:r>
      <w:r>
        <w:t xml:space="preserve">. Entrada </w:t>
      </w:r>
      <w:r w:rsidR="009B6F8B">
        <w:rPr>
          <w:rFonts w:eastAsia="Times New Roman" w:cs="Times New Roman"/>
          <w:lang w:eastAsia="es-ES_tradnl"/>
        </w:rPr>
        <w:t>05-12-</w:t>
      </w:r>
      <w:r>
        <w:t xml:space="preserve">19: </w:t>
      </w:r>
      <w:hyperlink r:id="rId8" w:history="1">
        <w:r w:rsidRPr="00B2034D">
          <w:rPr>
            <w:rStyle w:val="Hipervnculo"/>
          </w:rPr>
          <w:t>https://www.pagina12.com.ar/218666-primer-dia-internacional-de-la-seguridad-del-paciente</w:t>
        </w:r>
      </w:hyperlink>
    </w:p>
    <w:p w:rsidR="00CA112B" w:rsidRDefault="00CA112B" w:rsidP="00CA112B">
      <w:pPr>
        <w:tabs>
          <w:tab w:val="left" w:pos="2835"/>
        </w:tabs>
        <w:spacing w:before="80"/>
        <w:ind w:left="340" w:hanging="340"/>
        <w:jc w:val="both"/>
        <w:rPr>
          <w:lang w:eastAsia="es-ES_tradnl"/>
        </w:rPr>
      </w:pPr>
      <w:r w:rsidRPr="00000915">
        <w:rPr>
          <w:rFonts w:eastAsia="Times New Roman" w:cs="Times New Roman"/>
          <w:bCs/>
          <w:lang w:eastAsia="es-ES_tradnl"/>
        </w:rPr>
        <w:t xml:space="preserve">Moynihan, R. (2017). </w:t>
      </w:r>
      <w:r w:rsidRPr="00000915">
        <w:rPr>
          <w:rFonts w:eastAsia="Times New Roman" w:cs="Times New Roman"/>
          <w:lang w:eastAsia="es-ES_tradnl"/>
        </w:rPr>
        <w:t>Campaña para actuar contra el sobrediagnóstico de cinco enfermedades: cáncer de tiroides, mama y próstata; TDAH y ovario poliquístico.</w:t>
      </w:r>
      <w:r>
        <w:rPr>
          <w:rFonts w:eastAsia="Times New Roman" w:cs="Times New Roman"/>
          <w:lang w:eastAsia="es-ES_tradnl"/>
        </w:rPr>
        <w:t xml:space="preserve"> Entrada 05-12-19: </w:t>
      </w:r>
      <w:hyperlink r:id="rId9" w:history="1">
        <w:r w:rsidRPr="00C24043">
          <w:rPr>
            <w:rStyle w:val="Hipervnculo"/>
          </w:rPr>
          <w:t>http://www.nogracias.eu/2017/08/21/campana-actuar-sobrediagnostico-cinco-enfermedades-cancer-tiroides-mama-prostata-tdah-ovario-poliquistico-ray-moynihan/</w:t>
        </w:r>
      </w:hyperlink>
    </w:p>
    <w:p w:rsidR="00CA112B" w:rsidRDefault="00CA112B" w:rsidP="00CA112B">
      <w:pPr>
        <w:tabs>
          <w:tab w:val="left" w:pos="2835"/>
        </w:tabs>
        <w:spacing w:before="80"/>
        <w:ind w:left="340" w:hanging="340"/>
        <w:jc w:val="both"/>
        <w:rPr>
          <w:lang w:eastAsia="es-ES_tradnl"/>
        </w:rPr>
      </w:pPr>
      <w:r>
        <w:rPr>
          <w:rFonts w:eastAsia="Times New Roman" w:cs="Times New Roman"/>
          <w:bCs/>
          <w:lang w:val="es-ES" w:eastAsia="es-ES_tradnl"/>
        </w:rPr>
        <w:t>Navarro, V. (2008). ¿Qué es una política nacional de salud? Tareas, nº 130, pp. 39-58.</w:t>
      </w:r>
    </w:p>
    <w:p w:rsidR="009C0E05" w:rsidRDefault="009C0E05" w:rsidP="00CA112B">
      <w:pPr>
        <w:tabs>
          <w:tab w:val="left" w:pos="2835"/>
        </w:tabs>
        <w:spacing w:before="80"/>
        <w:ind w:left="340" w:hanging="340"/>
        <w:jc w:val="both"/>
        <w:rPr>
          <w:lang w:eastAsia="es-ES_tradnl"/>
        </w:rPr>
      </w:pPr>
      <w:r w:rsidRPr="00A87103">
        <w:rPr>
          <w:lang w:val="es-ES"/>
        </w:rPr>
        <w:t>Robert, J. (</w:t>
      </w:r>
      <w:r>
        <w:rPr>
          <w:lang w:val="es-ES"/>
        </w:rPr>
        <w:t>s/f</w:t>
      </w:r>
      <w:r w:rsidRPr="00A87103">
        <w:rPr>
          <w:lang w:val="es-ES"/>
        </w:rPr>
        <w:t xml:space="preserve">) </w:t>
      </w:r>
      <w:r w:rsidRPr="00A87103">
        <w:rPr>
          <w:rFonts w:cs="Times New Roman"/>
          <w:lang w:val="es-ES_tradnl"/>
        </w:rPr>
        <w:t>Las profesiones deshabilitantes</w:t>
      </w:r>
      <w:r>
        <w:rPr>
          <w:rFonts w:cs="Times New Roman"/>
          <w:lang w:val="es-ES_tradnl"/>
        </w:rPr>
        <w:t xml:space="preserve">. </w:t>
      </w:r>
      <w:r w:rsidRPr="00A87103">
        <w:rPr>
          <w:rFonts w:cs="Times New Roman"/>
          <w:lang w:val="es-ES_tradnl"/>
        </w:rPr>
        <w:t>El carácter histórico de las profesiones</w:t>
      </w:r>
      <w:r>
        <w:rPr>
          <w:rFonts w:cs="Times New Roman"/>
          <w:lang w:val="es-ES_tradnl"/>
        </w:rPr>
        <w:t xml:space="preserve">. Entrada 05-12-19: </w:t>
      </w:r>
      <w:hyperlink r:id="rId10" w:history="1">
        <w:r w:rsidRPr="002F2705">
          <w:rPr>
            <w:rStyle w:val="Hipervnculo"/>
            <w:rFonts w:cs="Times New Roman"/>
            <w:lang w:val="es-ES_tradnl"/>
          </w:rPr>
          <w:t>https://www.ivanillich.org.mx/6profesiones.pdf</w:t>
        </w:r>
      </w:hyperlink>
    </w:p>
    <w:p w:rsidR="0036490A" w:rsidRDefault="0036490A" w:rsidP="00CA112B">
      <w:pPr>
        <w:tabs>
          <w:tab w:val="left" w:pos="2835"/>
        </w:tabs>
        <w:spacing w:before="80"/>
        <w:ind w:left="340" w:hanging="340"/>
        <w:jc w:val="both"/>
        <w:rPr>
          <w:lang w:eastAsia="es-ES_tradnl"/>
        </w:rPr>
      </w:pPr>
      <w:r>
        <w:rPr>
          <w:lang w:eastAsia="es-ES_tradnl"/>
        </w:rPr>
        <w:t xml:space="preserve">Saforcada, E. (2020). </w:t>
      </w:r>
      <w:r w:rsidRPr="0036490A">
        <w:rPr>
          <w:rFonts w:cs="Times New Roman"/>
          <w:lang w:val="es-ES"/>
        </w:rPr>
        <w:t>Salud, soberanía nacional y derechos humanos</w:t>
      </w:r>
      <w:r>
        <w:rPr>
          <w:rFonts w:cs="Times New Roman"/>
          <w:lang w:val="es-ES"/>
        </w:rPr>
        <w:t>. (Capítulo a integrar en un libro de próxima publicación).</w:t>
      </w:r>
    </w:p>
    <w:p w:rsidR="005035AE" w:rsidRDefault="00506C0B" w:rsidP="00CA112B">
      <w:pPr>
        <w:tabs>
          <w:tab w:val="left" w:pos="2835"/>
        </w:tabs>
        <w:spacing w:before="80"/>
        <w:ind w:left="340" w:hanging="340"/>
        <w:jc w:val="both"/>
        <w:rPr>
          <w:lang w:eastAsia="es-ES_tradnl"/>
        </w:rPr>
      </w:pPr>
      <w:r>
        <w:t>Saforcada</w:t>
      </w:r>
      <w:r w:rsidR="005035AE" w:rsidRPr="005C66A3">
        <w:t xml:space="preserve">, </w:t>
      </w:r>
      <w:r>
        <w:t>E</w:t>
      </w:r>
      <w:r w:rsidR="005035AE" w:rsidRPr="005C66A3">
        <w:t xml:space="preserve">.; Gottelli, B.; </w:t>
      </w:r>
      <w:proofErr w:type="spellStart"/>
      <w:r w:rsidR="005035AE" w:rsidRPr="005C66A3">
        <w:rPr>
          <w:rFonts w:cs="Times New Roman"/>
          <w:lang w:val="es-ES"/>
        </w:rPr>
        <w:t>Bruzzone</w:t>
      </w:r>
      <w:proofErr w:type="spellEnd"/>
      <w:r w:rsidR="005035AE" w:rsidRPr="005C66A3">
        <w:rPr>
          <w:rFonts w:cs="Times New Roman"/>
          <w:lang w:val="es-ES"/>
        </w:rPr>
        <w:t xml:space="preserve">, M.; </w:t>
      </w:r>
      <w:proofErr w:type="spellStart"/>
      <w:r w:rsidR="005035AE" w:rsidRPr="005C66A3">
        <w:rPr>
          <w:rFonts w:cs="Times New Roman"/>
          <w:lang w:val="es-ES"/>
        </w:rPr>
        <w:t>Serodio</w:t>
      </w:r>
      <w:proofErr w:type="spellEnd"/>
      <w:r w:rsidR="005035AE" w:rsidRPr="005C66A3">
        <w:rPr>
          <w:rFonts w:cs="Times New Roman"/>
          <w:lang w:val="es-ES"/>
        </w:rPr>
        <w:t xml:space="preserve">, M. y de Lellis, M. (2020). La salud desde la perspectiva de las comunidades. Capítulo 1, publicado en portugués, en: </w:t>
      </w:r>
      <w:r w:rsidR="005035AE" w:rsidRPr="005C66A3">
        <w:t>Castellá Sarriera, J.; Bones Rocha, K.; Alfaro Inzunza; Bianchi Silva, R. (Org.). Bem-estar e saúde comunitária. Teoria, metodología e prácticas transformadoras. Curitiba, Appris</w:t>
      </w:r>
    </w:p>
    <w:p w:rsidR="00CA112B" w:rsidRPr="00035B2F" w:rsidRDefault="00CA112B" w:rsidP="00CA112B">
      <w:pPr>
        <w:tabs>
          <w:tab w:val="left" w:pos="2835"/>
        </w:tabs>
        <w:spacing w:before="80"/>
        <w:ind w:left="340" w:hanging="340"/>
        <w:jc w:val="both"/>
      </w:pPr>
      <w:r w:rsidRPr="00035B2F">
        <w:rPr>
          <w:lang w:eastAsia="es-ES_tradnl"/>
        </w:rPr>
        <w:t xml:space="preserve">Saforcada, E. (2015). “El sistema total de salud-enfermedad: componentes, dinámicas, responsabilidades, riesgos y alternativas”. En: </w:t>
      </w:r>
      <w:r w:rsidRPr="00035B2F">
        <w:t xml:space="preserve">De Lellis, M. (Comp.). Perspectivas en salud pública y salud mental. </w:t>
      </w:r>
      <w:r w:rsidRPr="00035B2F">
        <w:rPr>
          <w:lang w:eastAsia="es-ES_tradnl"/>
        </w:rPr>
        <w:t>Buenos Aires, Nuevos Tiempos.</w:t>
      </w:r>
    </w:p>
    <w:p w:rsidR="00CA112B" w:rsidRPr="0004625F" w:rsidRDefault="00CA112B" w:rsidP="00CA112B">
      <w:pPr>
        <w:spacing w:before="80"/>
        <w:ind w:left="340" w:hanging="340"/>
        <w:jc w:val="both"/>
        <w:rPr>
          <w:lang w:eastAsia="es-ES_tradnl"/>
        </w:rPr>
      </w:pPr>
      <w:r w:rsidRPr="0004625F">
        <w:rPr>
          <w:lang w:eastAsia="es-ES_tradnl"/>
        </w:rPr>
        <w:t>Saforcada, E. y Juárez, M.P. (2015). Condicionantes de la medicina occidental que propician la barrera psicosociocultural entre los efecto</w:t>
      </w:r>
      <w:r w:rsidR="00507950">
        <w:rPr>
          <w:lang w:eastAsia="es-ES_tradnl"/>
        </w:rPr>
        <w:t>re</w:t>
      </w:r>
      <w:r w:rsidRPr="0004625F">
        <w:rPr>
          <w:lang w:eastAsia="es-ES_tradnl"/>
        </w:rPr>
        <w:t>s médicos y las poblaciones consultantes. Salud &amp; Sociedad, V. 6, nº 3, pp. 266-288.</w:t>
      </w:r>
    </w:p>
    <w:p w:rsidR="00CA112B" w:rsidRPr="00035B2F" w:rsidRDefault="00CA112B" w:rsidP="00CA112B">
      <w:pPr>
        <w:spacing w:before="80"/>
        <w:ind w:left="340" w:hanging="340"/>
        <w:jc w:val="both"/>
        <w:rPr>
          <w:lang w:eastAsia="es-ES_tradnl"/>
        </w:rPr>
      </w:pPr>
      <w:r w:rsidRPr="00035B2F">
        <w:rPr>
          <w:lang w:eastAsia="es-ES_tradnl"/>
        </w:rPr>
        <w:t>Saforcada, E. y Moreira Alves, M. (2015). “Salud comunitaria: del nuevo paradigma a las nuevas estrategias de acción en salud”. En: Saforcada, E.; Castellá Sarriera, J. y Alfaro I., J. (2015). Salud comunitaria desde la perspectiva de sus protagonistas: la comunidad. Buenos Aires, Nuevos Tiempos.</w:t>
      </w:r>
    </w:p>
    <w:p w:rsidR="00CA112B" w:rsidRDefault="00CA112B" w:rsidP="00CA112B">
      <w:pPr>
        <w:spacing w:before="80"/>
        <w:ind w:left="340" w:hanging="340"/>
        <w:jc w:val="both"/>
        <w:rPr>
          <w:lang w:eastAsia="es-ES_tradnl"/>
        </w:rPr>
      </w:pPr>
      <w:r w:rsidRPr="0004625F">
        <w:rPr>
          <w:lang w:eastAsia="es-ES_tradnl"/>
        </w:rPr>
        <w:t>Saforcada, E. y Moreira Alves, M. (2014). La enfermedad pública. Salud &amp; Sociedad, V. 5, nº 1, pp. 022-037.</w:t>
      </w:r>
    </w:p>
    <w:p w:rsidR="00CA112B" w:rsidRPr="0004625F" w:rsidRDefault="00CA112B" w:rsidP="00CA112B">
      <w:pPr>
        <w:spacing w:before="80"/>
        <w:ind w:left="340" w:hanging="340"/>
        <w:jc w:val="both"/>
      </w:pPr>
      <w:r w:rsidRPr="00547B4D">
        <w:t>Saforcada, E</w:t>
      </w:r>
      <w:r>
        <w:t xml:space="preserve">.; </w:t>
      </w:r>
      <w:r w:rsidRPr="00FF2BE4">
        <w:t>de Lellis</w:t>
      </w:r>
      <w:r>
        <w:t>,</w:t>
      </w:r>
      <w:r w:rsidRPr="00FF2BE4">
        <w:t xml:space="preserve"> M. y Mozobancyk</w:t>
      </w:r>
      <w:r>
        <w:t>,</w:t>
      </w:r>
      <w:r w:rsidRPr="00FF2BE4">
        <w:t xml:space="preserve"> S. </w:t>
      </w:r>
      <w:r>
        <w:t>(2010) -</w:t>
      </w:r>
      <w:r w:rsidRPr="00FF2BE4">
        <w:t xml:space="preserve">Psicología y Salud Pública. Nuevos aportes desde la perspectiva del factor humano </w:t>
      </w:r>
      <w:r>
        <w:t>-</w:t>
      </w:r>
      <w:r w:rsidRPr="00FF2BE4">
        <w:t xml:space="preserve"> Buenos Aires</w:t>
      </w:r>
      <w:r>
        <w:t>,</w:t>
      </w:r>
      <w:r w:rsidRPr="00FF2BE4">
        <w:t xml:space="preserve"> Paidós.</w:t>
      </w:r>
    </w:p>
    <w:p w:rsidR="00CA112B" w:rsidRPr="004D5970" w:rsidRDefault="00CA112B" w:rsidP="00CA112B">
      <w:pPr>
        <w:spacing w:after="80"/>
        <w:ind w:left="510" w:hanging="510"/>
        <w:jc w:val="both"/>
        <w:rPr>
          <w:rFonts w:ascii="Times New Roman" w:hAnsi="Times New Roman" w:cs="Times New Roman"/>
          <w:lang w:val="en-US"/>
        </w:rPr>
      </w:pPr>
      <w:r>
        <w:rPr>
          <w:rFonts w:ascii="Times New Roman" w:hAnsi="Times New Roman" w:cs="Times New Roman"/>
          <w:lang w:val="es-ES"/>
        </w:rPr>
        <w:t xml:space="preserve">Skrabanek, P. (1999). La muerte de la medicina con rostro humano. </w:t>
      </w:r>
      <w:r w:rsidRPr="009A215E">
        <w:rPr>
          <w:rFonts w:ascii="Times New Roman" w:hAnsi="Times New Roman" w:cs="Times New Roman"/>
          <w:lang w:val="en-US"/>
        </w:rPr>
        <w:t>Madrid, Díaz de Santos.</w:t>
      </w:r>
    </w:p>
    <w:p w:rsidR="00CA112B" w:rsidRDefault="00CA112B" w:rsidP="00CA112B">
      <w:pPr>
        <w:tabs>
          <w:tab w:val="left" w:pos="2835"/>
        </w:tabs>
        <w:spacing w:before="80"/>
        <w:ind w:left="340" w:hanging="340"/>
        <w:jc w:val="both"/>
        <w:rPr>
          <w:lang w:eastAsia="es-ES_tradnl"/>
        </w:rPr>
      </w:pPr>
      <w:r w:rsidRPr="0004625F">
        <w:rPr>
          <w:lang w:val="en-US" w:eastAsia="es-ES_tradnl"/>
        </w:rPr>
        <w:t xml:space="preserve">Starfield, B. (2000). Is US health really the best in the world? </w:t>
      </w:r>
      <w:r w:rsidRPr="0004625F">
        <w:rPr>
          <w:lang w:eastAsia="es-ES_tradnl"/>
        </w:rPr>
        <w:t>JAMA, July, Vol. nº 4, pp. 483-485.</w:t>
      </w:r>
    </w:p>
    <w:p w:rsidR="00CA112B" w:rsidRPr="00CA112B" w:rsidRDefault="00CA112B" w:rsidP="00CA112B">
      <w:pPr>
        <w:tabs>
          <w:tab w:val="left" w:pos="2835"/>
        </w:tabs>
        <w:spacing w:before="80"/>
        <w:ind w:left="340" w:hanging="340"/>
        <w:jc w:val="both"/>
        <w:rPr>
          <w:lang w:eastAsia="es-ES_tradnl"/>
        </w:rPr>
      </w:pPr>
      <w:r>
        <w:t>Starfield, B. y Gérvas, J. (2009). Prevención de la población al paciente y viceversa. ¿Es la prevención una función de la Atención Primaria? El Médico, Nº 1104, pp. 34-36.</w:t>
      </w:r>
    </w:p>
    <w:sectPr w:rsidR="00CA112B" w:rsidRPr="00CA112B" w:rsidSect="004E6975">
      <w:footerReference w:type="even" r:id="rId11"/>
      <w:footerReference w:type="default" r:id="rId12"/>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59C9" w:rsidRDefault="00BB59C9" w:rsidP="0011567A">
      <w:r>
        <w:separator/>
      </w:r>
    </w:p>
  </w:endnote>
  <w:endnote w:type="continuationSeparator" w:id="0">
    <w:p w:rsidR="00BB59C9" w:rsidRDefault="00BB59C9" w:rsidP="00115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Hiragino Sans W8">
    <w:panose1 w:val="020B0800000000000000"/>
    <w:charset w:val="80"/>
    <w:family w:val="swiss"/>
    <w:pitch w:val="variable"/>
    <w:sig w:usb0="800002CF" w:usb1="6AC7FCFC" w:usb2="00000012" w:usb3="00000000" w:csb0="0002000D"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Cuerpo en alfa">
    <w:altName w:val="Times New Roman"/>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1595046802"/>
      <w:docPartObj>
        <w:docPartGallery w:val="Page Numbers (Bottom of Page)"/>
        <w:docPartUnique/>
      </w:docPartObj>
    </w:sdtPr>
    <w:sdtEndPr>
      <w:rPr>
        <w:rStyle w:val="Nmerodepgina"/>
      </w:rPr>
    </w:sdtEndPr>
    <w:sdtContent>
      <w:p w:rsidR="0011567A" w:rsidRDefault="0011567A" w:rsidP="005A742D">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11567A" w:rsidRDefault="0011567A" w:rsidP="0011567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496963530"/>
      <w:docPartObj>
        <w:docPartGallery w:val="Page Numbers (Bottom of Page)"/>
        <w:docPartUnique/>
      </w:docPartObj>
    </w:sdtPr>
    <w:sdtEndPr>
      <w:rPr>
        <w:rStyle w:val="Nmerodepgina"/>
      </w:rPr>
    </w:sdtEndPr>
    <w:sdtContent>
      <w:p w:rsidR="0011567A" w:rsidRDefault="0011567A" w:rsidP="005A742D">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rsidR="0011567A" w:rsidRDefault="0011567A" w:rsidP="0011567A">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59C9" w:rsidRDefault="00BB59C9" w:rsidP="0011567A">
      <w:r>
        <w:separator/>
      </w:r>
    </w:p>
  </w:footnote>
  <w:footnote w:type="continuationSeparator" w:id="0">
    <w:p w:rsidR="00BB59C9" w:rsidRDefault="00BB59C9" w:rsidP="001156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D0EB5"/>
    <w:multiLevelType w:val="hybridMultilevel"/>
    <w:tmpl w:val="B5201FCE"/>
    <w:lvl w:ilvl="0" w:tplc="040A0005">
      <w:start w:val="1"/>
      <w:numFmt w:val="bullet"/>
      <w:lvlText w:val=""/>
      <w:lvlJc w:val="left"/>
      <w:pPr>
        <w:ind w:left="216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11C72A11"/>
    <w:multiLevelType w:val="hybridMultilevel"/>
    <w:tmpl w:val="F90861F0"/>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1D8C3540"/>
    <w:multiLevelType w:val="hybridMultilevel"/>
    <w:tmpl w:val="4B86C356"/>
    <w:lvl w:ilvl="0" w:tplc="7ADE3B1E">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2F481E5D"/>
    <w:multiLevelType w:val="hybridMultilevel"/>
    <w:tmpl w:val="FCA4D11A"/>
    <w:lvl w:ilvl="0" w:tplc="9F9CC11C">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3CEC6992"/>
    <w:multiLevelType w:val="hybridMultilevel"/>
    <w:tmpl w:val="A0822E58"/>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4B7D3786"/>
    <w:multiLevelType w:val="hybridMultilevel"/>
    <w:tmpl w:val="AE1006E4"/>
    <w:lvl w:ilvl="0" w:tplc="E5CAFEFC">
      <w:start w:val="1"/>
      <w:numFmt w:val="bullet"/>
      <w:lvlText w:val="〜"/>
      <w:lvlJc w:val="left"/>
      <w:pPr>
        <w:ind w:left="2138" w:hanging="360"/>
      </w:pPr>
      <w:rPr>
        <w:rFonts w:ascii="Hiragino Sans W8" w:eastAsia="Hiragino Sans W8" w:hAnsi="Hiragino Sans W8" w:cs="Times New Roman" w:hint="eastAsia"/>
        <w:b/>
        <w:i w:val="0"/>
        <w:sz w:val="24"/>
      </w:rPr>
    </w:lvl>
    <w:lvl w:ilvl="1" w:tplc="040A0003" w:tentative="1">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51975B6D"/>
    <w:multiLevelType w:val="hybridMultilevel"/>
    <w:tmpl w:val="5B3679B0"/>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63200D07"/>
    <w:multiLevelType w:val="hybridMultilevel"/>
    <w:tmpl w:val="DC8EEE8C"/>
    <w:lvl w:ilvl="0" w:tplc="9F9CC11C">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75F76556"/>
    <w:multiLevelType w:val="hybridMultilevel"/>
    <w:tmpl w:val="E722AA20"/>
    <w:lvl w:ilvl="0" w:tplc="9F9CC11C">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8"/>
  </w:num>
  <w:num w:numId="4">
    <w:abstractNumId w:val="7"/>
  </w:num>
  <w:num w:numId="5">
    <w:abstractNumId w:val="3"/>
  </w:num>
  <w:num w:numId="6">
    <w:abstractNumId w:val="5"/>
  </w:num>
  <w:num w:numId="7">
    <w:abstractNumId w:val="2"/>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238"/>
    <w:rsid w:val="0011567A"/>
    <w:rsid w:val="00126ACB"/>
    <w:rsid w:val="00181238"/>
    <w:rsid w:val="001A1AB4"/>
    <w:rsid w:val="001B174D"/>
    <w:rsid w:val="001D08ED"/>
    <w:rsid w:val="001E3047"/>
    <w:rsid w:val="00260607"/>
    <w:rsid w:val="002A32E8"/>
    <w:rsid w:val="002A3BC3"/>
    <w:rsid w:val="002B35D4"/>
    <w:rsid w:val="002B7899"/>
    <w:rsid w:val="00361C94"/>
    <w:rsid w:val="0036490A"/>
    <w:rsid w:val="00372FB6"/>
    <w:rsid w:val="003E7EF0"/>
    <w:rsid w:val="004E6975"/>
    <w:rsid w:val="005035AE"/>
    <w:rsid w:val="00506C0B"/>
    <w:rsid w:val="00507950"/>
    <w:rsid w:val="00544610"/>
    <w:rsid w:val="00557D79"/>
    <w:rsid w:val="0056307F"/>
    <w:rsid w:val="005A2C51"/>
    <w:rsid w:val="005D1E27"/>
    <w:rsid w:val="005E3D0D"/>
    <w:rsid w:val="006131E2"/>
    <w:rsid w:val="00733660"/>
    <w:rsid w:val="00740CD2"/>
    <w:rsid w:val="007B7558"/>
    <w:rsid w:val="007D41FB"/>
    <w:rsid w:val="007F590A"/>
    <w:rsid w:val="00876D5D"/>
    <w:rsid w:val="008A190D"/>
    <w:rsid w:val="008A77BE"/>
    <w:rsid w:val="008D6D7D"/>
    <w:rsid w:val="008E6947"/>
    <w:rsid w:val="00903945"/>
    <w:rsid w:val="009111AD"/>
    <w:rsid w:val="0095006E"/>
    <w:rsid w:val="00952666"/>
    <w:rsid w:val="009931EF"/>
    <w:rsid w:val="009B6F8B"/>
    <w:rsid w:val="009C0E05"/>
    <w:rsid w:val="00A972FA"/>
    <w:rsid w:val="00B27034"/>
    <w:rsid w:val="00B347DA"/>
    <w:rsid w:val="00B91AD8"/>
    <w:rsid w:val="00B96925"/>
    <w:rsid w:val="00BB59C9"/>
    <w:rsid w:val="00C33E19"/>
    <w:rsid w:val="00C54D98"/>
    <w:rsid w:val="00C83122"/>
    <w:rsid w:val="00CA112B"/>
    <w:rsid w:val="00CA610C"/>
    <w:rsid w:val="00CA7133"/>
    <w:rsid w:val="00CA7C1C"/>
    <w:rsid w:val="00CC449C"/>
    <w:rsid w:val="00CE0A19"/>
    <w:rsid w:val="00D04C16"/>
    <w:rsid w:val="00D52956"/>
    <w:rsid w:val="00D91F3C"/>
    <w:rsid w:val="00D94132"/>
    <w:rsid w:val="00D9745F"/>
    <w:rsid w:val="00DA6337"/>
    <w:rsid w:val="00E37623"/>
    <w:rsid w:val="00E45EB3"/>
    <w:rsid w:val="00E56594"/>
    <w:rsid w:val="00EB6656"/>
    <w:rsid w:val="00EE055C"/>
    <w:rsid w:val="00EF70F8"/>
    <w:rsid w:val="00F9071B"/>
    <w:rsid w:val="00F93A1E"/>
    <w:rsid w:val="00FC6F2E"/>
    <w:rsid w:val="00FE71D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840DC"/>
  <w15:chartTrackingRefBased/>
  <w15:docId w15:val="{A121AEA2-4B0C-0B4D-8FC9-C44197BE2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imes New Roman (Cuerpo en alfa"/>
        <w:sz w:val="24"/>
        <w:szCs w:val="24"/>
        <w:lang w:val="es-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B7558"/>
    <w:pPr>
      <w:ind w:left="720"/>
      <w:contextualSpacing/>
    </w:pPr>
    <w:rPr>
      <w:rFonts w:asciiTheme="minorHAnsi" w:eastAsiaTheme="minorEastAsia" w:hAnsiTheme="minorHAnsi" w:cstheme="minorBidi"/>
      <w:lang w:val="es-ES_tradnl" w:eastAsia="es-ES"/>
    </w:rPr>
  </w:style>
  <w:style w:type="character" w:styleId="Hipervnculo">
    <w:name w:val="Hyperlink"/>
    <w:basedOn w:val="Fuentedeprrafopredeter"/>
    <w:uiPriority w:val="99"/>
    <w:unhideWhenUsed/>
    <w:rsid w:val="00CA112B"/>
    <w:rPr>
      <w:color w:val="0000FF"/>
      <w:u w:val="single"/>
    </w:rPr>
  </w:style>
  <w:style w:type="paragraph" w:styleId="Piedepgina">
    <w:name w:val="footer"/>
    <w:basedOn w:val="Normal"/>
    <w:link w:val="PiedepginaCar"/>
    <w:uiPriority w:val="99"/>
    <w:unhideWhenUsed/>
    <w:rsid w:val="0011567A"/>
    <w:pPr>
      <w:tabs>
        <w:tab w:val="center" w:pos="4419"/>
        <w:tab w:val="right" w:pos="8838"/>
      </w:tabs>
    </w:pPr>
  </w:style>
  <w:style w:type="character" w:customStyle="1" w:styleId="PiedepginaCar">
    <w:name w:val="Pie de página Car"/>
    <w:basedOn w:val="Fuentedeprrafopredeter"/>
    <w:link w:val="Piedepgina"/>
    <w:uiPriority w:val="99"/>
    <w:rsid w:val="0011567A"/>
  </w:style>
  <w:style w:type="character" w:styleId="Nmerodepgina">
    <w:name w:val="page number"/>
    <w:basedOn w:val="Fuentedeprrafopredeter"/>
    <w:uiPriority w:val="99"/>
    <w:semiHidden/>
    <w:unhideWhenUsed/>
    <w:rsid w:val="0011567A"/>
  </w:style>
  <w:style w:type="character" w:styleId="Mencinsinresolver">
    <w:name w:val="Unresolved Mention"/>
    <w:basedOn w:val="Fuentedeprrafopredeter"/>
    <w:uiPriority w:val="99"/>
    <w:semiHidden/>
    <w:unhideWhenUsed/>
    <w:rsid w:val="009B6F8B"/>
    <w:rPr>
      <w:color w:val="605E5C"/>
      <w:shd w:val="clear" w:color="auto" w:fill="E1DFDD"/>
    </w:rPr>
  </w:style>
  <w:style w:type="character" w:styleId="Hipervnculovisitado">
    <w:name w:val="FollowedHyperlink"/>
    <w:basedOn w:val="Fuentedeprrafopredeter"/>
    <w:uiPriority w:val="99"/>
    <w:semiHidden/>
    <w:unhideWhenUsed/>
    <w:rsid w:val="009B6F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gina12.com.ar/218666-primer-dia-internacional-de-la-seguridad-del-pacient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documents.sit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ivanillich.org.mx/6profesiones.pdf" TargetMode="External"/><Relationship Id="rId4" Type="http://schemas.openxmlformats.org/officeDocument/2006/relationships/webSettings" Target="webSettings.xml"/><Relationship Id="rId9" Type="http://schemas.openxmlformats.org/officeDocument/2006/relationships/hyperlink" Target="http://www.nogracias.eu/2017/08/21/campana-actuar-sobrediagnostico-cinco-enfermedades-cancer-tiroides-mama-prostata-tdah-ovario-poliquistico-ray-moynihan/"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404</TotalTime>
  <Pages>4</Pages>
  <Words>1541</Words>
  <Characters>8480</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Enrique Saforcada</dc:creator>
  <cp:keywords/>
  <dc:description/>
  <cp:lastModifiedBy>Enrique Saforcada</cp:lastModifiedBy>
  <cp:revision>21</cp:revision>
  <cp:lastPrinted>2020-02-01T23:53:00Z</cp:lastPrinted>
  <dcterms:created xsi:type="dcterms:W3CDTF">2020-01-04T20:13:00Z</dcterms:created>
  <dcterms:modified xsi:type="dcterms:W3CDTF">2020-02-01T23:58:00Z</dcterms:modified>
</cp:coreProperties>
</file>