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Arial" w:hAnsi="Arial" w:eastAsia="Arial" w:cs="Arial"/>
          <w:b/>
          <w:b/>
          <w:sz w:val="28"/>
          <w:szCs w:val="28"/>
        </w:rPr>
      </w:pPr>
      <w:bookmarkStart w:id="0" w:name="_GoBack"/>
      <w:bookmarkEnd w:id="0"/>
      <w:r>
        <w:rPr>
          <w:rFonts w:eastAsia="Arial" w:cs="Arial" w:ascii="Arial" w:hAnsi="Arial"/>
          <w:b/>
          <w:sz w:val="28"/>
          <w:szCs w:val="28"/>
        </w:rPr>
        <w:t>Curso de Educación Permanente:</w:t>
      </w:r>
    </w:p>
    <w:p>
      <w:pPr>
        <w:pStyle w:val="Normal"/>
        <w:widowControl w:val="false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Normal"/>
        <w:widowControl w:val="false"/>
        <w:rPr>
          <w:rFonts w:ascii="Arial" w:hAnsi="Arial" w:eastAsia="Arial" w:cs="Arial"/>
          <w:b/>
          <w:b/>
          <w:color w:val="000000"/>
          <w:sz w:val="28"/>
          <w:szCs w:val="28"/>
        </w:rPr>
      </w:pPr>
      <w:r>
        <w:rPr>
          <w:rFonts w:eastAsia="Arial" w:cs="Arial" w:ascii="Arial" w:hAnsi="Arial"/>
          <w:b/>
          <w:color w:val="000000"/>
          <w:sz w:val="28"/>
          <w:szCs w:val="28"/>
        </w:rPr>
        <w:t>Espacio Virtual</w:t>
      </w:r>
    </w:p>
    <w:p>
      <w:pPr>
        <w:pStyle w:val="Normal"/>
        <w:spacing w:before="28" w:after="0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i/>
          <w:color w:val="000000"/>
          <w:sz w:val="48"/>
          <w:szCs w:val="48"/>
        </w:rPr>
        <w:t>“</w:t>
      </w:r>
      <w:r>
        <w:rPr>
          <w:rFonts w:eastAsia="Arial" w:cs="Arial" w:ascii="Arial" w:hAnsi="Arial"/>
          <w:b/>
          <w:i/>
          <w:color w:val="000000"/>
          <w:sz w:val="48"/>
          <w:szCs w:val="48"/>
          <w:highlight w:val="white"/>
        </w:rPr>
        <w:t>El arte del títere; aportes para la investigación interdisciplinaria: dramaturgia, creación y animación</w:t>
      </w:r>
      <w:r>
        <w:rPr>
          <w:rFonts w:eastAsia="Arial" w:cs="Arial" w:ascii="Arial" w:hAnsi="Arial"/>
          <w:b/>
          <w:i/>
          <w:color w:val="000000"/>
          <w:sz w:val="48"/>
          <w:szCs w:val="48"/>
        </w:rPr>
        <w:t>”.</w:t>
      </w:r>
      <w:r>
        <w:rPr>
          <w:rFonts w:eastAsia="Arial" w:cs="Arial" w:ascii="Arial" w:hAnsi="Arial"/>
          <w:b/>
          <w:color w:val="000000"/>
          <w:sz w:val="48"/>
          <w:szCs w:val="48"/>
        </w:rPr>
        <w:t xml:space="preserve"> </w:t>
      </w:r>
    </w:p>
    <w:p>
      <w:pPr>
        <w:pStyle w:val="Normal"/>
        <w:spacing w:before="28" w:after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>Docente/s: Titiritero Sr. Marcelo Claro, Lic. José Pedro Fuentes, Lic. Andrea Oszmianski, Narradora oral Sra. Gabriela Tornin. Mag. Gabby Recto.</w:t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Docente/s invitado/s: por Asociación de Titiriteros del Uruguay- UNIMA: Titiritero Sr. Gustavo Martinez, Titiritera Sra. Raquel Ditchekenián. </w:t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spacing w:before="28" w:after="0"/>
        <w:rPr/>
      </w:pPr>
      <w:r>
        <w:rPr>
          <w:rFonts w:eastAsia="Arial" w:cs="Arial" w:ascii="Arial" w:hAnsi="Arial"/>
          <w:b/>
        </w:rPr>
        <w:t>Período de inscripción: 23/04/20 hasta 14/05/20</w:t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spacing w:before="28" w:after="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</w:rPr>
        <w:t xml:space="preserve">Fecha de inicio:  </w:t>
      </w:r>
      <w:r>
        <w:rPr>
          <w:rFonts w:eastAsia="Arial" w:cs="Arial" w:ascii="Arial" w:hAnsi="Arial"/>
          <w:b/>
          <w:color w:val="000000"/>
        </w:rPr>
        <w:t>16/05/2020</w:t>
      </w:r>
    </w:p>
    <w:p>
      <w:pPr>
        <w:pStyle w:val="Normal"/>
        <w:widowControl w:val="false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widowControl w:val="false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Frecuencia semanal. </w:t>
      </w:r>
    </w:p>
    <w:p>
      <w:pPr>
        <w:pStyle w:val="Normal"/>
        <w:rPr/>
      </w:pPr>
      <w:r>
        <w:rPr>
          <w:rFonts w:eastAsia="Arial" w:cs="Arial" w:ascii="Arial" w:hAnsi="Arial"/>
          <w:b/>
        </w:rPr>
        <w:t>Curso Virtual: modalidad de cursado: Clases sincrónicas y tareas asincrónicas.</w:t>
      </w:r>
    </w:p>
    <w:p>
      <w:pPr>
        <w:pStyle w:val="Normal"/>
        <w:widowControl w:val="false"/>
        <w:rPr/>
      </w:pPr>
      <w:r>
        <w:rPr>
          <w:rFonts w:eastAsia="Arial" w:cs="Arial" w:ascii="Arial" w:hAnsi="Arial"/>
          <w:b/>
        </w:rPr>
        <w:t>Instancias virtuales programadas:</w:t>
      </w:r>
      <w:r>
        <w:rPr>
          <w:rFonts w:eastAsia="Arial" w:cs="Arial" w:ascii="Arial" w:hAnsi="Arial"/>
          <w:b/>
          <w:color w:val="000000"/>
        </w:rPr>
        <w:t xml:space="preserve"> Sábados: 16/05; 30/05; 13/06 y 27/06   </w:t>
      </w:r>
    </w:p>
    <w:p>
      <w:pPr>
        <w:pStyle w:val="Normal"/>
        <w:widowControl w:val="false"/>
        <w:rPr/>
      </w:pPr>
      <w:r>
        <w:rPr>
          <w:rFonts w:eastAsia="Arial" w:cs="Arial" w:ascii="Arial" w:hAnsi="Arial"/>
          <w:b/>
          <w:color w:val="000000"/>
        </w:rPr>
        <w:t xml:space="preserve">Horario: </w:t>
      </w:r>
      <w:r>
        <w:rPr>
          <w:rFonts w:eastAsia="Arial" w:cs="Arial" w:ascii="Arial" w:hAnsi="Arial"/>
          <w:b/>
        </w:rPr>
        <w:t>15:00 a 17:00 hs.</w:t>
      </w:r>
    </w:p>
    <w:p>
      <w:pPr>
        <w:pStyle w:val="Normal"/>
        <w:widowControl w:val="false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widowControl w:val="false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Cupo: 40</w:t>
      </w:r>
    </w:p>
    <w:p>
      <w:pPr>
        <w:pStyle w:val="Normal"/>
        <w:widowControl w:val="false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widowControl w:val="false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rPr/>
      </w:pPr>
      <w:r>
        <w:rPr>
          <w:rFonts w:eastAsia="Arial" w:cs="Arial" w:ascii="Arial" w:hAnsi="Arial"/>
          <w:b/>
        </w:rPr>
        <w:t>DESTINATARIOS: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 xml:space="preserve"> Público en general.</w:t>
      </w:r>
      <w:r>
        <w:rPr>
          <w:rFonts w:eastAsia="Arial" w:cs="Arial" w:ascii="Arial" w:hAnsi="Arial"/>
          <w:b/>
          <w:color w:val="000000"/>
        </w:rPr>
        <w:t xml:space="preserve"> </w:t>
      </w:r>
      <w:r>
        <w:rPr>
          <w:rFonts w:eastAsia="Arial" w:cs="Arial" w:ascii="Arial" w:hAnsi="Arial"/>
          <w:color w:val="000000"/>
        </w:rPr>
        <w:t>Toda persona interesada en aprender e interpretar el arte del títere/objeto, jugar, improvisar e investigar con distintos materiales.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  <w:u w:val="single"/>
        </w:rPr>
        <w:t xml:space="preserve">OBJETIVO/S GENERAL/ES: </w:t>
      </w:r>
      <w:r>
        <w:rPr>
          <w:rFonts w:eastAsia="Arial" w:cs="Arial" w:ascii="Arial" w:hAnsi="Arial"/>
          <w:b/>
          <w:color w:val="000000"/>
        </w:rPr>
        <w:t xml:space="preserve"> 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eastAsia="Arial" w:cs="Arial" w:ascii="Arial" w:hAnsi="Arial"/>
          <w:color w:val="000000"/>
        </w:rPr>
        <w:t>Contribuir al fortalecimiento de la investigación del Arte del Títere, estimulando una actitud de búsqueda creativa.</w:t>
      </w:r>
    </w:p>
    <w:p>
      <w:pPr>
        <w:pStyle w:val="Normal"/>
        <w:numPr>
          <w:ilvl w:val="0"/>
          <w:numId w:val="6"/>
        </w:numPr>
        <w:rPr/>
      </w:pPr>
      <w:r>
        <w:rPr>
          <w:rFonts w:eastAsia="Arial" w:cs="Arial" w:ascii="Arial" w:hAnsi="Arial"/>
          <w:color w:val="000000"/>
        </w:rPr>
        <w:t xml:space="preserve">Focalizar en la promoción de espacios de diálogo e intercambio en relación a la creación, dramaturgia y animación en dicho arte. 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  <w:t>OBJETIVOS ESPECÍFICOS:</w:t>
      </w:r>
    </w:p>
    <w:p>
      <w:pPr>
        <w:pStyle w:val="Normal"/>
        <w:rPr>
          <w:rFonts w:ascii="Arial" w:hAnsi="Arial" w:eastAsia="Arial" w:cs="Arial"/>
          <w:b/>
          <w:b/>
          <w:color w:val="0000FF"/>
          <w:u w:val="single"/>
        </w:rPr>
      </w:pPr>
      <w:r>
        <w:rPr>
          <w:rFonts w:eastAsia="Arial" w:cs="Arial" w:ascii="Arial" w:hAnsi="Arial"/>
          <w:b/>
          <w:color w:val="0000FF"/>
          <w:u w:val="single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eastAsia="Arial" w:cs="Arial" w:ascii="Arial" w:hAnsi="Arial"/>
          <w:color w:val="000000"/>
        </w:rPr>
        <w:t>Posibilitar espacios de exploración de la dramaturgia como recurso potenciador del Arte del Títere.</w:t>
      </w:r>
    </w:p>
    <w:p>
      <w:pPr>
        <w:pStyle w:val="Normal"/>
        <w:numPr>
          <w:ilvl w:val="0"/>
          <w:numId w:val="2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Aportar al desarrollo de espacios de experimentación colectiva re-conociendo los distintos saberes en juego.</w:t>
      </w:r>
    </w:p>
    <w:p>
      <w:pPr>
        <w:pStyle w:val="Normal"/>
        <w:numPr>
          <w:ilvl w:val="0"/>
          <w:numId w:val="2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Acompañar y promover la realización de historias.</w:t>
      </w:r>
    </w:p>
    <w:p>
      <w:pPr>
        <w:pStyle w:val="Normal"/>
        <w:rPr>
          <w:rFonts w:ascii="Arial" w:hAnsi="Arial" w:eastAsia="Arial" w:cs="Arial"/>
          <w:b/>
          <w:b/>
          <w:color w:val="000000"/>
          <w:u w:val="single"/>
        </w:rPr>
      </w:pPr>
      <w:r>
        <w:rPr>
          <w:rFonts w:eastAsia="Arial" w:cs="Arial" w:ascii="Arial" w:hAnsi="Arial"/>
          <w:b/>
          <w:color w:val="000000"/>
          <w:u w:val="single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TEMARIO: </w:t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1.</w:t>
        <w:tab/>
        <w:t>Acercamiento y creación de la historia (dramaturgia)</w:t>
      </w:r>
    </w:p>
    <w:p>
      <w:pPr>
        <w:pStyle w:val="Normal"/>
        <w:numPr>
          <w:ilvl w:val="0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Historias de Vida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Calibri" w:cs="Calibri" w:ascii="Calibri" w:hAnsi="Calibri"/>
          <w:color w:val="000000"/>
        </w:rPr>
        <w:t>Historias colectivas</w:t>
      </w:r>
    </w:p>
    <w:p>
      <w:pPr>
        <w:pStyle w:val="Normal"/>
        <w:numPr>
          <w:ilvl w:val="0"/>
          <w:numId w:val="1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Comunicación (Storytelling)</w:t>
      </w:r>
    </w:p>
    <w:p>
      <w:pPr>
        <w:pStyle w:val="Normal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2.</w:t>
        <w:tab/>
        <w:t>La Dramaturgia como recurso potenciador del arte del títere</w:t>
      </w:r>
    </w:p>
    <w:p>
      <w:pPr>
        <w:pStyle w:val="Normal"/>
        <w:numPr>
          <w:ilvl w:val="0"/>
          <w:numId w:val="3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Exploración artística de la dramaturgia</w:t>
      </w:r>
    </w:p>
    <w:p>
      <w:pPr>
        <w:pStyle w:val="Normal"/>
        <w:numPr>
          <w:ilvl w:val="0"/>
          <w:numId w:val="3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Actor titiritero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Calibri" w:cs="Calibri" w:ascii="Calibri" w:hAnsi="Calibri"/>
          <w:color w:val="000000"/>
        </w:rPr>
        <w:t xml:space="preserve">Construcción y creación de personajes </w:t>
      </w:r>
    </w:p>
    <w:p>
      <w:pPr>
        <w:pStyle w:val="Normal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3.</w:t>
        <w:tab/>
        <w:t>La Dramaturgia en acción</w:t>
      </w:r>
    </w:p>
    <w:p>
      <w:pPr>
        <w:pStyle w:val="Normal"/>
        <w:numPr>
          <w:ilvl w:val="0"/>
          <w:numId w:val="5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Creatividad y acercamiento a la animación de los títeres</w:t>
      </w:r>
    </w:p>
    <w:p>
      <w:pPr>
        <w:pStyle w:val="Normal"/>
        <w:numPr>
          <w:ilvl w:val="0"/>
          <w:numId w:val="5"/>
        </w:numPr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  <w:t>Pensar y componer la escena</w:t>
      </w:r>
    </w:p>
    <w:p>
      <w:pPr>
        <w:pStyle w:val="Normal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METODOLOGÍA:</w:t>
      </w:r>
    </w:p>
    <w:p>
      <w:pPr>
        <w:pStyle w:val="Normal"/>
        <w:spacing w:before="240" w:after="240"/>
        <w:jc w:val="both"/>
        <w:rPr/>
      </w:pPr>
      <w:r>
        <w:rPr>
          <w:rFonts w:eastAsia="Arial" w:cs="Arial" w:ascii="Arial" w:hAnsi="Arial"/>
          <w:color w:val="000000"/>
        </w:rPr>
        <w:t>En la búsqueda de oportunidades que permitan nuevas formas de encuentro en el contexto actual, el curso se organiza en dos semestres con tiempos y quehaceres distintos.</w:t>
      </w:r>
    </w:p>
    <w:p>
      <w:pPr>
        <w:pStyle w:val="Normal"/>
        <w:spacing w:before="240" w:after="240"/>
        <w:jc w:val="both"/>
        <w:rPr/>
      </w:pPr>
      <w:r>
        <w:rPr>
          <w:rFonts w:eastAsia="Arial" w:cs="Arial" w:ascii="Arial" w:hAnsi="Arial"/>
          <w:color w:val="000000"/>
        </w:rPr>
        <w:t>En un primer semestre se combinarán instancias virtuales de trabajo sincrónico y asincrónico.</w:t>
      </w:r>
    </w:p>
    <w:p>
      <w:pPr>
        <w:pStyle w:val="Normal"/>
        <w:spacing w:before="240" w:after="240"/>
        <w:rPr/>
      </w:pPr>
      <w:r>
        <w:rPr>
          <w:rFonts w:eastAsia="Arial" w:cs="Arial" w:ascii="Arial" w:hAnsi="Arial"/>
          <w:color w:val="000000"/>
        </w:rPr>
        <w:t>En un segundo semestre se aspira el desarrollo de instancias presenciales, enriqueciendo la participación de todos los y las participantes implicados en los distintos momentos.</w:t>
      </w:r>
    </w:p>
    <w:p>
      <w:pPr>
        <w:pStyle w:val="Normal"/>
        <w:spacing w:before="240" w:after="240"/>
        <w:rPr/>
      </w:pPr>
      <w:r>
        <w:rPr>
          <w:rFonts w:eastAsia="Arial" w:cs="Arial" w:ascii="Arial" w:hAnsi="Arial"/>
          <w:color w:val="000000"/>
        </w:rPr>
        <w:t>Los semestres se pueden cursar independientes uno del otro.</w:t>
      </w:r>
    </w:p>
    <w:p>
      <w:pPr>
        <w:pStyle w:val="Normal"/>
        <w:spacing w:before="240" w:after="240"/>
        <w:jc w:val="both"/>
        <w:rPr/>
      </w:pPr>
      <w:r>
        <w:rPr>
          <w:rFonts w:eastAsia="Arial" w:cs="Arial" w:ascii="Arial" w:hAnsi="Arial"/>
          <w:b/>
          <w:color w:val="000000"/>
        </w:rPr>
        <w:t>Primer semestre</w:t>
      </w:r>
      <w:r>
        <w:rPr>
          <w:rFonts w:eastAsia="Arial" w:cs="Arial" w:ascii="Arial" w:hAnsi="Arial"/>
          <w:color w:val="000000"/>
        </w:rPr>
        <w:t xml:space="preserve">: </w:t>
      </w:r>
    </w:p>
    <w:p>
      <w:pPr>
        <w:pStyle w:val="Normal"/>
        <w:spacing w:before="240" w:after="240"/>
        <w:jc w:val="both"/>
        <w:rPr/>
      </w:pPr>
      <w:r>
        <w:rPr>
          <w:rFonts w:eastAsia="Arial" w:cs="Arial" w:ascii="Arial" w:hAnsi="Arial"/>
          <w:color w:val="000000"/>
        </w:rPr>
        <w:t>Inicio. Sábado 16/05, encuentro virtual por plataforma. Hora: 15:00. Se enviará el link de acceso a la reunión a los  inscriptos con anterioridad.</w:t>
      </w:r>
    </w:p>
    <w:p>
      <w:pPr>
        <w:pStyle w:val="Normal"/>
        <w:spacing w:before="240" w:after="240"/>
        <w:rPr/>
      </w:pPr>
      <w:sdt>
        <w:sdtPr>
          <w:id w:val="273353290"/>
        </w:sdtPr>
        <w:sdtContent>
          <w:r>
            <w:rPr>
              <w:rFonts w:eastAsia="Arial" w:cs="Arial" w:ascii="Arial" w:hAnsi="Arial"/>
              <w:color w:val="000000"/>
            </w:rPr>
            <w:t>L</w:t>
          </w:r>
        </w:sdtContent>
      </w:sdt>
      <w:sdt>
        <w:sdtPr>
          <w:id w:val="1425798805"/>
        </w:sdtPr>
        <w:sdtContent>
          <w:r>
            <w:rPr>
              <w:rFonts w:eastAsia="Arial" w:cs="Arial" w:ascii="Arial" w:hAnsi="Arial"/>
              <w:color w:val="000000"/>
            </w:rPr>
            <w:t>os encuentros se llevarán a cabo en el espacio v</w:t>
          </w:r>
          <w:r>
            <w:rPr>
              <w:rFonts w:eastAsia="Arial" w:cs="Arial" w:ascii="Arial" w:hAnsi="Arial"/>
              <w:color w:val="000000"/>
            </w:rPr>
            <w:t xml:space="preserve">irtual de manera sincrónica a partir del sábado 16/05 y cada quince días. En dichas instancias se promoverá el desarrollo de espacios de diálogo, intercambio y exploración de los diferentes ámbitos de aplicación del Arte del Titere. </w:t>
          </w:r>
        </w:sdtContent>
      </w:sdt>
    </w:p>
    <w:p>
      <w:pPr>
        <w:pStyle w:val="Normal"/>
        <w:spacing w:before="240" w:after="240"/>
        <w:rPr/>
      </w:pPr>
      <w:r>
        <w:rPr>
          <w:rFonts w:eastAsia="Arial" w:cs="Arial" w:ascii="Arial" w:hAnsi="Arial"/>
          <w:color w:val="000000"/>
        </w:rPr>
        <w:t xml:space="preserve">Para los sábados, de cursada asincrónica (23/05- 06/06-20/06), se subirán a la Plataforma Eva, actividades grupales y/o individuales, que se realizarán en el correr de cada semana, y se integrarán a la dinámica de los encuentros virtuales. Se promoverá que cada participante sea agente de participación y al mismo tiempo productor de conocimiento sobre la temática abordada. </w:t>
      </w:r>
    </w:p>
    <w:p>
      <w:pPr>
        <w:pStyle w:val="Normal"/>
        <w:spacing w:before="240" w:after="240"/>
        <w:jc w:val="both"/>
        <w:rPr/>
      </w:pPr>
      <w:r>
        <w:rPr>
          <w:rFonts w:eastAsia="Arial" w:cs="Arial" w:ascii="Arial" w:hAnsi="Arial"/>
          <w:color w:val="000000"/>
        </w:rPr>
        <w:t xml:space="preserve">Las diversas producciones realizadas en este semestre, serán material precedente, a la creación y construcción del objeto/títere, planificado para el </w:t>
      </w:r>
      <w:r>
        <w:rPr>
          <w:rFonts w:eastAsia="Arial" w:cs="Arial" w:ascii="Arial" w:hAnsi="Arial"/>
          <w:b/>
          <w:bCs/>
          <w:color w:val="000000"/>
        </w:rPr>
        <w:t>segundo semestre del año,</w:t>
      </w:r>
      <w:r>
        <w:rPr>
          <w:rFonts w:eastAsia="Arial" w:cs="Arial" w:ascii="Arial" w:hAnsi="Arial"/>
          <w:color w:val="000000"/>
        </w:rPr>
        <w:t xml:space="preserve"> en modalidad de Laboratorios quincenales. </w:t>
      </w:r>
    </w:p>
    <w:p>
      <w:pPr>
        <w:pStyle w:val="Normal"/>
        <w:rPr/>
      </w:pPr>
      <w:bookmarkStart w:id="1" w:name="_heading=h.gjdgxs"/>
      <w:bookmarkEnd w:id="1"/>
      <w:r>
        <w:rPr>
          <w:rFonts w:eastAsia="Arial" w:cs="Arial" w:ascii="Arial" w:hAnsi="Arial"/>
          <w:b/>
        </w:rPr>
        <w:t>SISTEMA DE EVALUACIÓN:</w:t>
      </w:r>
    </w:p>
    <w:p>
      <w:pPr>
        <w:pStyle w:val="Normal"/>
        <w:rPr>
          <w:rFonts w:ascii="Arial" w:hAnsi="Arial" w:eastAsia="Arial" w:cs="Arial"/>
        </w:rPr>
      </w:pPr>
      <w:bookmarkStart w:id="2" w:name="_heading=h.30j0zll"/>
      <w:bookmarkStart w:id="3" w:name="_heading=h.30j0zll"/>
      <w:bookmarkEnd w:id="3"/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 xml:space="preserve">La evaluación será continua atendiendo el proceso de trabajo en conjunto (ingreso regular a plataformas, participación -pertinente- en los encuentros virtuales quincenales, actitud crítico-reflexiva, compromiso con las tareas y el grupo de trabajo). </w:t>
        <w:br/>
      </w:r>
    </w:p>
    <w:p>
      <w:pPr>
        <w:pStyle w:val="Normal"/>
        <w:rPr/>
      </w:pPr>
      <w:r>
        <w:rPr>
          <w:rFonts w:eastAsia="Arial" w:cs="Arial" w:ascii="Arial" w:hAnsi="Arial"/>
          <w:color w:val="000000"/>
        </w:rPr>
        <w:t xml:space="preserve">Asimismo, se promoverán instancias en las cuales los participantes reflexionen en forma crítica y comprometida sobre la metodología de trabajo compartido. 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  <w:t xml:space="preserve">BIBLIOGRAFÍA BÁSICA (Formato APA): </w:t>
      </w:r>
    </w:p>
    <w:p>
      <w:pPr>
        <w:pStyle w:val="Normal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Balardim, P . (2014) Móin-Móin en Revista de estudios sobre teatro de formas animadas. Año 10. Número 12. ISSN 1809-1385.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Buchbinder, M y Matoso, E. (1980) Las máscaras de las máscaras Buenos Aires Editorial Letra Viva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Cherro M, Loureiro B. (2005) Los títeres en el Uruguay. Montevideo. Publicaciones IIN-SUPIA-UNIMA Uruguay.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Davis, F. (2010) La comunicación no verbal. Alianza editorial, Madrid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Ditchekenian, R., Pérez,B., Martínez,G. (2014) El títere en el aula. Administración Nacional de Educación Pública. Primera Edición. Montevideo. Tradinco.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Fernández, M. (1995) Títeres en la clínica o el regreso de la Preciosa. Buenos Aires. Lugar Editorial.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Recto, G. (2015) Mi aula es un retablo. Guía para la implementación del Programa de Información y Educación preventiva del uso problemático de sustancias y promoción de la salud en Primer Nivel de Atención. Montevideo. Psicolibros Universitarios.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Reisin, A. (2000). Sobre la angustio, el estar y lo creativo en Creatividad, Psiquismo y Complejidad. Buenos Aires. Aguafuerte S.R.L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eastAsia="Arial" w:cs="Arial" w:ascii="Arial" w:hAnsi="Arial"/>
          <w:color w:val="000000"/>
        </w:rPr>
        <w:t xml:space="preserve">Rojas, J. (2002) El trabajo de creación: una creación que trabaja. Teorías implícitas elaboradas por creadores artísticos Actualidades en Psicología, vol. 18, núm. 105, 2002, pp. 68-79 Instituto de Investigaciones Psicológicas San José, Costa Rica Recuperado de: </w:t>
      </w:r>
      <w:hyperlink r:id="rId2">
        <w:r>
          <w:rPr>
            <w:rStyle w:val="EnlacedeInternet"/>
            <w:rFonts w:eastAsia="Arial" w:cs="Arial" w:ascii="Arial" w:hAnsi="Arial"/>
            <w:color w:val="0000FF"/>
          </w:rPr>
          <w:t>http://www.redalyc.org/articulo.oa?id=133218158005</w:t>
        </w:r>
      </w:hyperlink>
    </w:p>
    <w:p>
      <w:pPr>
        <w:pStyle w:val="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Rojas Bermúdez, J. (1969) Utilización del títere como Objeto intermediario, en IV Congreso Internacionales de Psicodrama y Sociodrama. Buenos Aires.</w:t>
      </w:r>
    </w:p>
    <w:p>
      <w:pPr>
        <w:pStyle w:val="Normal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>
          <w:color w:val="000000"/>
        </w:rPr>
      </w:pPr>
      <w:r>
        <w:rPr>
          <w:rFonts w:eastAsia="Arial" w:cs="Arial" w:ascii="Arial" w:hAnsi="Arial"/>
          <w:color w:val="000000"/>
        </w:rPr>
        <w:t>-------------- (1972) Nuevas aportaciones en el campo del Objeto intermediario, en Primer Congreso Panamericano de Medicina Psicosomática. Buenos Aires.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eastAsia="Arial" w:cs="Arial" w:ascii="Arial" w:hAnsi="Arial"/>
          <w:color w:val="000000"/>
        </w:rPr>
        <w:t xml:space="preserve">Saganogo, B. (2012) La imaginación en el proceso de creación artística. Sincronía, núm. 61, pp. 1-11 Universidad de Guadalajara Guadalajara, México Recuperado de: </w:t>
      </w:r>
      <w:hyperlink r:id="rId3">
        <w:r>
          <w:rPr>
            <w:rStyle w:val="EnlacedeInternet"/>
            <w:rFonts w:eastAsia="Arial" w:cs="Arial" w:ascii="Arial" w:hAnsi="Arial"/>
            <w:color w:val="0000FF"/>
          </w:rPr>
          <w:t>http://www.redalyc.org/articulo.oa?id=513851805005</w:t>
        </w:r>
      </w:hyperlink>
    </w:p>
    <w:p>
      <w:pPr>
        <w:pStyle w:val="Normal"/>
        <w:rPr>
          <w:rFonts w:ascii="Arial" w:hAnsi="Arial" w:eastAsia="Arial" w:cs="Arial"/>
          <w:color w:val="9900FF"/>
        </w:rPr>
      </w:pPr>
      <w:r>
        <w:rPr>
          <w:rFonts w:eastAsia="Arial" w:cs="Arial" w:ascii="Arial" w:hAnsi="Arial"/>
          <w:color w:val="9900FF"/>
        </w:rPr>
      </w:r>
    </w:p>
    <w:p>
      <w:pPr>
        <w:pStyle w:val="Normal"/>
        <w:numPr>
          <w:ilvl w:val="0"/>
          <w:numId w:val="4"/>
        </w:numPr>
        <w:rPr/>
      </w:pPr>
      <w:bookmarkStart w:id="4" w:name="_heading=h.1fob9te"/>
      <w:bookmarkEnd w:id="4"/>
      <w:r>
        <w:rPr>
          <w:rFonts w:eastAsia="Arial" w:cs="Arial" w:ascii="Arial" w:hAnsi="Arial"/>
          <w:color w:val="000000"/>
        </w:rPr>
        <w:t xml:space="preserve">Vélez, M. (2009) Creación y método DEARQ - Revista de Arquitectura/ Journal of Architecture, núm. 5, diciembre, pp. 74-77 Universidad de Los Andes Bogotá, Colombia Recuperado de: </w:t>
      </w:r>
      <w:hyperlink r:id="rId4">
        <w:r>
          <w:rPr>
            <w:rStyle w:val="EnlacedeInternet"/>
            <w:rFonts w:eastAsia="Arial" w:cs="Arial" w:ascii="Arial" w:hAnsi="Arial"/>
            <w:color w:val="0000FF"/>
          </w:rPr>
          <w:t>http://www.redalyc.org/articulo.oa?id=341630314006</w:t>
        </w:r>
      </w:hyperlink>
    </w:p>
    <w:p>
      <w:pPr>
        <w:pStyle w:val="Normal"/>
        <w:rPr>
          <w:rFonts w:ascii="Arial" w:hAnsi="Arial" w:eastAsia="Arial" w:cs="Arial"/>
        </w:rPr>
      </w:pPr>
      <w:bookmarkStart w:id="5" w:name="_heading=h.3znysh7"/>
      <w:bookmarkStart w:id="6" w:name="_heading=h.3znysh7"/>
      <w:bookmarkEnd w:id="6"/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bookmarkStart w:id="7" w:name="_heading=h.2et92p0"/>
      <w:bookmarkStart w:id="8" w:name="_heading=h.2et92p0"/>
      <w:bookmarkEnd w:id="8"/>
      <w:r>
        <w:rPr>
          <w:rFonts w:eastAsia="Arial" w:cs="Arial" w:ascii="Arial" w:hAnsi="Arial"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794" w:right="794" w:header="709" w:top="1985" w:footer="709" w:bottom="1361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-483235</wp:posOffset>
          </wp:positionH>
          <wp:positionV relativeFrom="paragraph">
            <wp:posOffset>635</wp:posOffset>
          </wp:positionV>
          <wp:extent cx="7522845" cy="67310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-504190</wp:posOffset>
          </wp:positionH>
          <wp:positionV relativeFrom="paragraph">
            <wp:posOffset>635</wp:posOffset>
          </wp:positionV>
          <wp:extent cx="7531100" cy="102870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3">
    <w:lvl w:ilvl="0">
      <w:start w:val="1"/>
      <w:numFmt w:val="lowerLetter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0"/>
        <w:szCs w:val="20"/>
        <w:rFonts w:cs="Noto Sans Symbols"/>
      </w:rPr>
    </w:lvl>
  </w:abstractNum>
  <w:abstractNum w:abstractNumId="5">
    <w:lvl w:ilvl="0">
      <w:start w:val="1"/>
      <w:numFmt w:val="lowerLetter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A"/>
        <w:sz w:val="24"/>
        <w:szCs w:val="24"/>
        <w:lang w:val="es-ES" w:eastAsia="es-UY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00000A"/>
      <w:sz w:val="24"/>
      <w:szCs w:val="24"/>
      <w:lang w:val="es-ES" w:eastAsia="es-UY" w:bidi="ar-SA"/>
    </w:rPr>
  </w:style>
  <w:style w:type="paragraph" w:styleId="Encabezado1">
    <w:name w:val="Heading 1"/>
    <w:basedOn w:val="Normal"/>
    <w:next w:val="Normal"/>
    <w:qFormat/>
    <w:pPr>
      <w:keepNext/>
      <w:keepLines/>
      <w:widowControl w:val="false"/>
      <w:spacing w:before="480" w:after="120"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widowControl w:val="false"/>
      <w:spacing w:before="360" w:after="80"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widowControl w:val="false"/>
      <w:spacing w:before="280" w:after="80"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widowControl w:val="false"/>
      <w:spacing w:before="240" w:after="40"/>
      <w:outlineLvl w:val="3"/>
    </w:pPr>
    <w:rPr>
      <w:b/>
    </w:rPr>
  </w:style>
  <w:style w:type="paragraph" w:styleId="Encabezado5">
    <w:name w:val="Heading 5"/>
    <w:basedOn w:val="Normal"/>
    <w:next w:val="Normal"/>
    <w:qFormat/>
    <w:pPr>
      <w:keepNext/>
      <w:keepLines/>
      <w:widowControl w:val="false"/>
      <w:spacing w:before="220" w:after="40"/>
      <w:outlineLvl w:val="4"/>
    </w:pPr>
    <w:rPr>
      <w:b/>
      <w:sz w:val="22"/>
      <w:szCs w:val="22"/>
    </w:rPr>
  </w:style>
  <w:style w:type="paragraph" w:styleId="Encabezado6">
    <w:name w:val="Heading 6"/>
    <w:basedOn w:val="Normal"/>
    <w:next w:val="Normal"/>
    <w:qFormat/>
    <w:pPr>
      <w:keepNext/>
      <w:keepLines/>
      <w:widowControl w:val="false"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e6c62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Noto Sans Symbols" w:cs="Noto Sans Symbols"/>
      <w:sz w:val="20"/>
      <w:szCs w:val="20"/>
    </w:rPr>
  </w:style>
  <w:style w:type="character" w:styleId="ListLabel2" w:customStyle="1">
    <w:name w:val="ListLabel 2"/>
    <w:qFormat/>
    <w:rPr>
      <w:rFonts w:eastAsia="Courier New" w:cs="Courier New"/>
      <w:sz w:val="20"/>
      <w:szCs w:val="20"/>
    </w:rPr>
  </w:style>
  <w:style w:type="character" w:styleId="ListLabel3" w:customStyle="1">
    <w:name w:val="ListLabel 3"/>
    <w:qFormat/>
    <w:rPr>
      <w:rFonts w:eastAsia="Noto Sans Symbols" w:cs="Noto Sans Symbols"/>
      <w:sz w:val="20"/>
      <w:szCs w:val="20"/>
    </w:rPr>
  </w:style>
  <w:style w:type="character" w:styleId="ListLabel4" w:customStyle="1">
    <w:name w:val="ListLabel 4"/>
    <w:qFormat/>
    <w:rPr>
      <w:rFonts w:eastAsia="Noto Sans Symbols" w:cs="Noto Sans Symbols"/>
      <w:sz w:val="20"/>
      <w:szCs w:val="20"/>
    </w:rPr>
  </w:style>
  <w:style w:type="character" w:styleId="ListLabel5" w:customStyle="1">
    <w:name w:val="ListLabel 5"/>
    <w:qFormat/>
    <w:rPr>
      <w:rFonts w:eastAsia="Noto Sans Symbols" w:cs="Noto Sans Symbols"/>
      <w:sz w:val="20"/>
      <w:szCs w:val="20"/>
    </w:rPr>
  </w:style>
  <w:style w:type="character" w:styleId="ListLabel6" w:customStyle="1">
    <w:name w:val="ListLabel 6"/>
    <w:qFormat/>
    <w:rPr>
      <w:rFonts w:eastAsia="Noto Sans Symbols" w:cs="Noto Sans Symbols"/>
      <w:sz w:val="20"/>
      <w:szCs w:val="20"/>
    </w:rPr>
  </w:style>
  <w:style w:type="character" w:styleId="ListLabel7" w:customStyle="1">
    <w:name w:val="ListLabel 7"/>
    <w:qFormat/>
    <w:rPr>
      <w:rFonts w:eastAsia="Noto Sans Symbols" w:cs="Noto Sans Symbols"/>
      <w:sz w:val="20"/>
      <w:szCs w:val="20"/>
    </w:rPr>
  </w:style>
  <w:style w:type="character" w:styleId="ListLabel8" w:customStyle="1">
    <w:name w:val="ListLabel 8"/>
    <w:qFormat/>
    <w:rPr>
      <w:rFonts w:eastAsia="Noto Sans Symbols" w:cs="Noto Sans Symbols"/>
      <w:sz w:val="20"/>
      <w:szCs w:val="20"/>
    </w:rPr>
  </w:style>
  <w:style w:type="character" w:styleId="ListLabel9" w:customStyle="1">
    <w:name w:val="ListLabel 9"/>
    <w:qFormat/>
    <w:rPr>
      <w:rFonts w:eastAsia="Noto Sans Symbols" w:cs="Noto Sans Symbols"/>
      <w:sz w:val="20"/>
      <w:szCs w:val="20"/>
    </w:rPr>
  </w:style>
  <w:style w:type="character" w:styleId="ListLabel10" w:customStyle="1">
    <w:name w:val="ListLabel 10"/>
    <w:qFormat/>
    <w:rPr>
      <w:rFonts w:eastAsia="Noto Sans Symbols" w:cs="Noto Sans Symbols"/>
      <w:sz w:val="20"/>
      <w:szCs w:val="20"/>
    </w:rPr>
  </w:style>
  <w:style w:type="character" w:styleId="ListLabel11" w:customStyle="1">
    <w:name w:val="ListLabel 11"/>
    <w:qFormat/>
    <w:rPr>
      <w:rFonts w:eastAsia="Courier New" w:cs="Courier New"/>
      <w:sz w:val="20"/>
      <w:szCs w:val="20"/>
    </w:rPr>
  </w:style>
  <w:style w:type="character" w:styleId="ListLabel12" w:customStyle="1">
    <w:name w:val="ListLabel 12"/>
    <w:qFormat/>
    <w:rPr>
      <w:rFonts w:eastAsia="Noto Sans Symbols" w:cs="Noto Sans Symbols"/>
      <w:sz w:val="20"/>
      <w:szCs w:val="20"/>
    </w:rPr>
  </w:style>
  <w:style w:type="character" w:styleId="ListLabel13" w:customStyle="1">
    <w:name w:val="ListLabel 13"/>
    <w:qFormat/>
    <w:rPr>
      <w:rFonts w:eastAsia="Noto Sans Symbols" w:cs="Noto Sans Symbols"/>
      <w:sz w:val="20"/>
      <w:szCs w:val="20"/>
    </w:rPr>
  </w:style>
  <w:style w:type="character" w:styleId="ListLabel14" w:customStyle="1">
    <w:name w:val="ListLabel 14"/>
    <w:qFormat/>
    <w:rPr>
      <w:rFonts w:eastAsia="Noto Sans Symbols" w:cs="Noto Sans Symbols"/>
      <w:sz w:val="20"/>
      <w:szCs w:val="20"/>
    </w:rPr>
  </w:style>
  <w:style w:type="character" w:styleId="ListLabel15" w:customStyle="1">
    <w:name w:val="ListLabel 15"/>
    <w:qFormat/>
    <w:rPr>
      <w:rFonts w:eastAsia="Noto Sans Symbols" w:cs="Noto Sans Symbols"/>
      <w:sz w:val="20"/>
      <w:szCs w:val="20"/>
    </w:rPr>
  </w:style>
  <w:style w:type="character" w:styleId="ListLabel16" w:customStyle="1">
    <w:name w:val="ListLabel 16"/>
    <w:qFormat/>
    <w:rPr>
      <w:rFonts w:eastAsia="Noto Sans Symbols" w:cs="Noto Sans Symbols"/>
      <w:sz w:val="20"/>
      <w:szCs w:val="20"/>
    </w:rPr>
  </w:style>
  <w:style w:type="character" w:styleId="ListLabel17" w:customStyle="1">
    <w:name w:val="ListLabel 17"/>
    <w:qFormat/>
    <w:rPr>
      <w:rFonts w:eastAsia="Noto Sans Symbols" w:cs="Noto Sans Symbols"/>
      <w:sz w:val="20"/>
      <w:szCs w:val="20"/>
    </w:rPr>
  </w:style>
  <w:style w:type="character" w:styleId="ListLabel18" w:customStyle="1">
    <w:name w:val="ListLabel 18"/>
    <w:qFormat/>
    <w:rPr>
      <w:rFonts w:eastAsia="Noto Sans Symbols" w:cs="Noto Sans Symbols"/>
      <w:sz w:val="20"/>
      <w:szCs w:val="20"/>
    </w:rPr>
  </w:style>
  <w:style w:type="character" w:styleId="EnlacedeInternet" w:customStyle="1">
    <w:name w:val="Enlace de Internet"/>
    <w:rPr>
      <w:color w:val="000080"/>
      <w:u w:val="single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ListLabel19">
    <w:name w:val="ListLabel 19"/>
    <w:qFormat/>
    <w:rPr>
      <w:rFonts w:cs="Noto Sans Symbols"/>
      <w:sz w:val="20"/>
      <w:szCs w:val="20"/>
    </w:rPr>
  </w:style>
  <w:style w:type="character" w:styleId="ListLabel20">
    <w:name w:val="ListLabel 20"/>
    <w:qFormat/>
    <w:rPr>
      <w:rFonts w:cs="Courier New"/>
      <w:sz w:val="20"/>
      <w:szCs w:val="20"/>
    </w:rPr>
  </w:style>
  <w:style w:type="character" w:styleId="ListLabel21">
    <w:name w:val="ListLabel 21"/>
    <w:qFormat/>
    <w:rPr>
      <w:rFonts w:cs="Noto Sans Symbols"/>
      <w:sz w:val="20"/>
      <w:szCs w:val="20"/>
    </w:rPr>
  </w:style>
  <w:style w:type="character" w:styleId="ListLabel22">
    <w:name w:val="ListLabel 22"/>
    <w:qFormat/>
    <w:rPr>
      <w:rFonts w:cs="Noto Sans Symbols"/>
      <w:sz w:val="20"/>
      <w:szCs w:val="20"/>
    </w:rPr>
  </w:style>
  <w:style w:type="character" w:styleId="ListLabel23">
    <w:name w:val="ListLabel 23"/>
    <w:qFormat/>
    <w:rPr>
      <w:rFonts w:cs="Noto Sans Symbols"/>
      <w:sz w:val="20"/>
      <w:szCs w:val="20"/>
    </w:rPr>
  </w:style>
  <w:style w:type="character" w:styleId="ListLabel24">
    <w:name w:val="ListLabel 24"/>
    <w:qFormat/>
    <w:rPr>
      <w:rFonts w:cs="Noto Sans Symbols"/>
      <w:sz w:val="20"/>
      <w:szCs w:val="20"/>
    </w:rPr>
  </w:style>
  <w:style w:type="character" w:styleId="ListLabel25">
    <w:name w:val="ListLabel 25"/>
    <w:qFormat/>
    <w:rPr>
      <w:rFonts w:cs="Noto Sans Symbols"/>
      <w:sz w:val="20"/>
      <w:szCs w:val="20"/>
    </w:rPr>
  </w:style>
  <w:style w:type="character" w:styleId="ListLabel26">
    <w:name w:val="ListLabel 26"/>
    <w:qFormat/>
    <w:rPr>
      <w:rFonts w:cs="Noto Sans Symbols"/>
      <w:sz w:val="20"/>
      <w:szCs w:val="20"/>
    </w:rPr>
  </w:style>
  <w:style w:type="character" w:styleId="ListLabel27">
    <w:name w:val="ListLabel 27"/>
    <w:qFormat/>
    <w:rPr>
      <w:rFonts w:cs="Noto Sans Symbols"/>
      <w:sz w:val="20"/>
      <w:szCs w:val="20"/>
    </w:rPr>
  </w:style>
  <w:style w:type="character" w:styleId="ListLabel28">
    <w:name w:val="ListLabel 28"/>
    <w:qFormat/>
    <w:rPr>
      <w:rFonts w:cs="Noto Sans Symbols"/>
      <w:sz w:val="20"/>
      <w:szCs w:val="20"/>
    </w:rPr>
  </w:style>
  <w:style w:type="character" w:styleId="ListLabel29">
    <w:name w:val="ListLabel 29"/>
    <w:qFormat/>
    <w:rPr>
      <w:rFonts w:cs="Courier New"/>
      <w:sz w:val="20"/>
      <w:szCs w:val="20"/>
    </w:rPr>
  </w:style>
  <w:style w:type="character" w:styleId="ListLabel30">
    <w:name w:val="ListLabel 30"/>
    <w:qFormat/>
    <w:rPr>
      <w:rFonts w:cs="Noto Sans Symbols"/>
      <w:sz w:val="20"/>
      <w:szCs w:val="20"/>
    </w:rPr>
  </w:style>
  <w:style w:type="character" w:styleId="ListLabel31">
    <w:name w:val="ListLabel 31"/>
    <w:qFormat/>
    <w:rPr>
      <w:rFonts w:cs="Noto Sans Symbols"/>
      <w:sz w:val="20"/>
      <w:szCs w:val="20"/>
    </w:rPr>
  </w:style>
  <w:style w:type="character" w:styleId="ListLabel32">
    <w:name w:val="ListLabel 32"/>
    <w:qFormat/>
    <w:rPr>
      <w:rFonts w:cs="Noto Sans Symbols"/>
      <w:sz w:val="20"/>
      <w:szCs w:val="20"/>
    </w:rPr>
  </w:style>
  <w:style w:type="character" w:styleId="ListLabel33">
    <w:name w:val="ListLabel 33"/>
    <w:qFormat/>
    <w:rPr>
      <w:rFonts w:cs="Noto Sans Symbols"/>
      <w:sz w:val="20"/>
      <w:szCs w:val="20"/>
    </w:rPr>
  </w:style>
  <w:style w:type="character" w:styleId="ListLabel34">
    <w:name w:val="ListLabel 34"/>
    <w:qFormat/>
    <w:rPr>
      <w:rFonts w:cs="Noto Sans Symbols"/>
      <w:sz w:val="20"/>
      <w:szCs w:val="20"/>
    </w:rPr>
  </w:style>
  <w:style w:type="character" w:styleId="ListLabel35">
    <w:name w:val="ListLabel 35"/>
    <w:qFormat/>
    <w:rPr>
      <w:rFonts w:cs="Noto Sans Symbols"/>
      <w:sz w:val="20"/>
      <w:szCs w:val="20"/>
    </w:rPr>
  </w:style>
  <w:style w:type="character" w:styleId="ListLabel36">
    <w:name w:val="ListLabel 36"/>
    <w:qFormat/>
    <w:rPr>
      <w:rFonts w:cs="Noto Sans Symbols"/>
      <w:sz w:val="20"/>
      <w:szCs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e6c62"/>
    <w:pPr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edalyc.org/articulo.oa?id=133218158005" TargetMode="External"/><Relationship Id="rId3" Type="http://schemas.openxmlformats.org/officeDocument/2006/relationships/hyperlink" Target="http://www.redalyc.org/articulo.oa?id=513851805005" TargetMode="External"/><Relationship Id="rId4" Type="http://schemas.openxmlformats.org/officeDocument/2006/relationships/hyperlink" Target="http://www.redalyc.org/articulo.oa?id=341630314006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mXqE/0ItbEKWGCXGBrXiOIgvqA==">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4</Pages>
  <Words>850</Words>
  <Characters>5163</Characters>
  <CharactersWithSpaces>5950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2020-04-23T22:43:00Z</dcterms:created>
  <dc:creator>Jose</dc:creator>
  <dc:description/>
  <dc:language>es-UY</dc:language>
  <cp:lastModifiedBy/>
  <dcterms:modified xsi:type="dcterms:W3CDTF">2020-04-23T20:27:31Z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